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r>
        <w:rPr/>
      </w:r>
      <w:bookmarkStart w:id="0" w:name="a9893s.htm"/>
      <w:bookmarkStart w:id="1" w:name="ksa9893s"/>
      <w:bookmarkStart w:id="2" w:name="a9893s.htm"/>
      <w:bookmarkStart w:id="3" w:name="ksa9893s"/>
      <w:bookmarkEnd w:id="2"/>
      <w:bookmarkEnd w:id="3"/>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single" w:sz="12"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UNITED STATES</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center"/>
        <w:rPr>
          <w:rFonts w:ascii="Times New Roman" w:hAnsi="Times New Roman"/>
          <w:b/>
          <w:sz w:val="36"/>
        </w:rPr>
      </w:pPr>
      <w:r>
        <w:rPr>
          <w:rFonts w:ascii="Times New Roman" w:hAnsi="Times New Roman"/>
          <w:b/>
          <w:sz w:val="36"/>
        </w:rPr>
        <w:t>FORM 6-K</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REPORT OF FOREIGN PRIVATE ISSUER</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PURSUANT TO RULE 13a-16 OR 15d-16</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UNDER THE SECURITIES EXCHANGE ACT OF 1934</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Date: 02 September 2026</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Commission File Number: 001-43229</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4"/>
        </w:rPr>
      </w:pPr>
      <w:r>
        <w:rPr>
          <w:rFonts w:ascii="Times New Roman" w:hAnsi="Times New Roman"/>
          <w:b/>
          <w:sz w:val="24"/>
        </w:rPr>
        <w:t>Wise Group plc</w:t>
      </w:r>
    </w:p>
    <w:p>
      <w:pPr>
        <w:pStyle w:val="TextBody"/>
        <w:bidi w:val="0"/>
        <w:spacing w:before="0" w:after="0"/>
        <w:jc w:val="center"/>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(Translation of registrant’s name into English)</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1st Floor, Worship Square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65 Clifton Street</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London EC2A 4JE</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United Kingdom</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(Address of Principal Executive Office)</w:t>
      </w:r>
    </w:p>
    <w:p>
      <w:pPr>
        <w:pStyle w:val="TextBody"/>
        <w:bidi w:val="0"/>
        <w:spacing w:before="0" w:after="0"/>
        <w:jc w:val="left"/>
        <w:rPr/>
      </w:pPr>
      <w:r>
        <w:rPr/>
        <w:t> </w:t>
      </w:r>
    </w:p>
    <w:tbl>
      <w:tblPr>
        <w:tblW w:w="90" w:type="dxa"/>
        <w:jc w:val="center"/>
        <w:tblInd w:w="0" w:type="dxa"/>
        <w:tblLayout w:type="fixed"/>
        <w:tblCellMar>
          <w:top w:w="28" w:type="dxa"/>
          <w:left w:w="0" w:type="dxa"/>
          <w:bottom w:w="0" w:type="dxa"/>
          <w:right w:w="0" w:type="dxa"/>
        </w:tblCellMar>
      </w:tblPr>
      <w:tblGrid>
        <w:gridCol w:w="90"/>
      </w:tblGrid>
      <w:tr>
        <w:trPr/>
        <w:tc>
          <w:tcPr>
            <w:tcW w:w="90" w:type="dxa"/>
            <w:tcBorders>
              <w:top w:val="single" w:sz="8" w:space="0" w:color="000000"/>
            </w:tcBorders>
            <w:vAlign w:val="center"/>
          </w:tcPr>
          <w:p>
            <w:pPr>
              <w:pStyle w:val="TableContents"/>
              <w:bidi w:val="0"/>
              <w:spacing w:before="0" w:after="0"/>
              <w:jc w:val="left"/>
              <w:rPr/>
            </w:pPr>
            <w:r>
              <w:rPr/>
              <w:t> </w:t>
            </w:r>
          </w:p>
        </w:tc>
      </w:tr>
    </w:tbl>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Indicate by check mark whether the registrant files or will file annual reports under cover of Form 20-F or Form 40-F:</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Form 20-F ☒   Form 40-F ☐</w:t>
      </w:r>
    </w:p>
    <w:p>
      <w:pPr>
        <w:pStyle w:val="TextBody"/>
        <w:bidi w:val="0"/>
        <w:spacing w:before="0" w:after="0"/>
        <w:jc w:val="left"/>
        <w:rPr/>
      </w:pPr>
      <w:r>
        <w:rPr/>
        <w:t> </w:t>
      </w:r>
    </w:p>
    <w:p>
      <w:pPr>
        <w:pStyle w:val="TextBody"/>
        <w:bidi w:val="0"/>
        <w:spacing w:before="0" w:after="0"/>
        <w:jc w:val="left"/>
        <w:rPr/>
      </w:pPr>
      <w:r>
        <w:rPr/>
        <w:t> </w:t>
      </w:r>
    </w:p>
    <w:p>
      <w:pPr>
        <w:pStyle w:val="TextBody"/>
        <w:bidi w:val="0"/>
        <w:spacing w:before="0" w:after="0"/>
        <w:ind w:left="0" w:right="0" w:hanging="0"/>
        <w:jc w:val="both"/>
        <w:rPr/>
      </w:pPr>
      <w:r>
        <w:rPr/>
        <w:t> </w:t>
      </w:r>
    </w:p>
    <w:p>
      <w:pPr>
        <w:pStyle w:val="TextBody"/>
        <w:bidi w:val="0"/>
        <w:spacing w:before="0" w:after="0"/>
        <w:jc w:val="left"/>
        <w:rPr/>
      </w:pPr>
      <w:r>
        <w:rPr/>
        <w:t> </w:t>
      </w:r>
    </w:p>
    <w:tbl>
      <w:tblPr>
        <w:tblW w:w="90" w:type="dxa"/>
        <w:jc w:val="left"/>
        <w:tblInd w:w="0" w:type="dxa"/>
        <w:tblLayout w:type="fixed"/>
        <w:tblCellMar>
          <w:top w:w="28" w:type="dxa"/>
          <w:left w:w="0" w:type="dxa"/>
          <w:bottom w:w="28" w:type="dxa"/>
          <w:right w:w="0" w:type="dxa"/>
        </w:tblCellMar>
      </w:tblPr>
      <w:tblGrid>
        <w:gridCol w:w="90"/>
      </w:tblGrid>
      <w:tr>
        <w:trPr/>
        <w:tc>
          <w:tcPr>
            <w:tcW w:w="90" w:type="dxa"/>
            <w:tcBorders>
              <w:top w:val="single" w:sz="8" w:space="0" w:color="000000"/>
              <w:bottom w:val="double" w:sz="8" w:space="0" w:color="000000"/>
            </w:tcBorders>
            <w:vAlign w:val="center"/>
          </w:tcPr>
          <w:p>
            <w:pPr>
              <w:pStyle w:val="TableContents"/>
              <w:bidi w:val="0"/>
              <w:spacing w:before="0" w:after="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EXHIBIT INDEX</w:t>
      </w:r>
    </w:p>
    <w:p>
      <w:pPr>
        <w:pStyle w:val="TextBody"/>
        <w:bidi w:val="0"/>
        <w:spacing w:before="0" w:after="0"/>
        <w:ind w:left="0" w:right="0" w:hanging="0"/>
        <w:jc w:val="both"/>
        <w:rPr/>
      </w:pPr>
      <w:r>
        <w:rPr/>
        <w:t> </w:t>
      </w:r>
    </w:p>
    <w:tbl>
      <w:tblPr>
        <w:tblW w:w="7820" w:type="dxa"/>
        <w:jc w:val="left"/>
        <w:tblInd w:w="0" w:type="dxa"/>
        <w:tblLayout w:type="fixed"/>
        <w:tblCellMar>
          <w:top w:w="0" w:type="dxa"/>
          <w:left w:w="0" w:type="dxa"/>
          <w:bottom w:w="0" w:type="dxa"/>
          <w:right w:w="0" w:type="dxa"/>
        </w:tblCellMar>
      </w:tblPr>
      <w:tblGrid>
        <w:gridCol w:w="995"/>
        <w:gridCol w:w="6825"/>
      </w:tblGrid>
      <w:tr>
        <w:trPr/>
        <w:tc>
          <w:tcPr>
            <w:tcW w:w="995"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Exhibit No.</w:t>
            </w:r>
          </w:p>
          <w:p>
            <w:pPr>
              <w:pStyle w:val="TableContents"/>
              <w:bidi w:val="0"/>
              <w:spacing w:before="0" w:after="0"/>
              <w:ind w:left="0" w:right="270" w:hanging="0"/>
              <w:jc w:val="center"/>
              <w:rPr/>
            </w:pPr>
            <w:r>
              <w:rPr/>
              <w:t> </w:t>
            </w:r>
          </w:p>
        </w:tc>
        <w:tc>
          <w:tcPr>
            <w:tcW w:w="6825" w:type="dxa"/>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Description</w:t>
            </w:r>
          </w:p>
          <w:p>
            <w:pPr>
              <w:pStyle w:val="TableContents"/>
              <w:bidi w:val="0"/>
              <w:spacing w:before="0" w:after="0"/>
              <w:ind w:left="0" w:right="6750" w:hanging="0"/>
              <w:jc w:val="center"/>
              <w:rPr/>
            </w:pPr>
            <w:r>
              <w:rPr/>
              <w:t> </w:t>
            </w:r>
          </w:p>
        </w:tc>
      </w:tr>
      <w:tr>
        <w:trPr/>
        <w:tc>
          <w:tcPr>
            <w:tcW w:w="995" w:type="dxa"/>
            <w:tcBorders/>
            <w:vAlign w:val="center"/>
          </w:tcPr>
          <w:p>
            <w:pPr>
              <w:pStyle w:val="TableContents"/>
              <w:bidi w:val="0"/>
              <w:spacing w:before="0" w:after="0"/>
              <w:ind w:left="0" w:right="0" w:hanging="0"/>
              <w:jc w:val="center"/>
              <w:rPr>
                <w:rFonts w:ascii="Times New Roman" w:hAnsi="Times New Roman"/>
                <w:color w:val="000000"/>
                <w:sz w:val="20"/>
              </w:rPr>
            </w:pPr>
            <w:r>
              <w:rPr>
                <w:rFonts w:ascii="Times New Roman" w:hAnsi="Times New Roman"/>
                <w:color w:val="000000"/>
                <w:sz w:val="20"/>
              </w:rPr>
              <w:t>99.1</w:t>
            </w:r>
          </w:p>
          <w:p>
            <w:pPr>
              <w:pStyle w:val="TableContents"/>
              <w:bidi w:val="0"/>
              <w:spacing w:before="0" w:after="0"/>
              <w:ind w:left="0" w:right="0" w:hanging="0"/>
              <w:jc w:val="both"/>
              <w:rPr/>
            </w:pPr>
            <w:r>
              <w:rPr/>
              <w:t> </w:t>
            </w:r>
          </w:p>
        </w:tc>
        <w:tc>
          <w:tcPr>
            <w:tcW w:w="6825" w:type="dxa"/>
            <w:tcBorders/>
            <w:vAlign w:val="center"/>
          </w:tcPr>
          <w:p>
            <w:pPr>
              <w:pStyle w:val="TableContents"/>
              <w:bidi w:val="0"/>
              <w:spacing w:before="0" w:after="0"/>
              <w:ind w:left="0" w:right="0" w:hanging="0"/>
              <w:jc w:val="left"/>
              <w:rPr/>
            </w:pPr>
            <w:r>
              <w:rPr/>
              <w:t> </w:t>
            </w:r>
            <w:r>
              <w:rPr>
                <w:rFonts w:ascii="Times New Roman" w:hAnsi="Times New Roman"/>
                <w:sz w:val="20"/>
              </w:rPr>
              <w:t>Transaction in Own Shares dated 02 September 2026</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Exhibit 99.1</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Wise Group plc</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center"/>
        <w:rPr>
          <w:rFonts w:ascii="Times New Roman" w:hAnsi="Times New Roman"/>
          <w:b/>
          <w:color w:val="000000"/>
          <w:sz w:val="20"/>
        </w:rPr>
      </w:pPr>
      <w:r>
        <w:rPr>
          <w:rFonts w:ascii="Times New Roman" w:hAnsi="Times New Roman"/>
          <w:b/>
          <w:color w:val="000000"/>
          <w:sz w:val="20"/>
        </w:rPr>
        <w:t>Transaction in Own Shares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Group plc (the "Company") announces that from 24 August 2026 up to and including 28 August 2026 it repurchased a total of (i) 286,461 of its Class A ordinary shares on Nasdaq and/or other applicable US trading venues and (ii) 512,074 of its Class A ordinary shares on the London Stock Exchange and other in both cases through Goldman Sachs International or one of its affiliates, as detailed below.</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repurchased Class A ordinary shares will be held in treasury.</w:t>
      </w:r>
    </w:p>
    <w:p>
      <w:pPr>
        <w:pStyle w:val="TextBody"/>
        <w:bidi w:val="0"/>
        <w:spacing w:before="0" w:after="0"/>
        <w:ind w:left="0" w:right="0" w:hanging="0"/>
        <w:jc w:val="both"/>
        <w:rPr/>
      </w:pPr>
      <w:r>
        <w:rPr/>
        <w:t> </w:t>
      </w:r>
    </w:p>
    <w:tbl>
      <w:tblPr>
        <w:tblW w:w="10205" w:type="dxa"/>
        <w:jc w:val="left"/>
        <w:tblInd w:w="-5" w:type="dxa"/>
        <w:tblLayout w:type="fixed"/>
        <w:tblCellMar>
          <w:top w:w="28" w:type="dxa"/>
          <w:left w:w="28" w:type="dxa"/>
          <w:bottom w:w="28" w:type="dxa"/>
          <w:right w:w="0" w:type="dxa"/>
        </w:tblCellMar>
      </w:tblPr>
      <w:tblGrid>
        <w:gridCol w:w="770"/>
        <w:gridCol w:w="2876"/>
        <w:gridCol w:w="2380"/>
        <w:gridCol w:w="1568"/>
        <w:gridCol w:w="1545"/>
        <w:gridCol w:w="1066"/>
      </w:tblGrid>
      <w:tr>
        <w:trPr/>
        <w:tc>
          <w:tcPr>
            <w:tcW w:w="770"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Date</w:t>
            </w:r>
          </w:p>
        </w:tc>
        <w:tc>
          <w:tcPr>
            <w:tcW w:w="2876"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Aggregate number of Class A ordinary shares purchased</w:t>
            </w:r>
          </w:p>
        </w:tc>
        <w:tc>
          <w:tcPr>
            <w:tcW w:w="2380"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Volume weighted average price paid per share</w:t>
            </w:r>
          </w:p>
        </w:tc>
        <w:tc>
          <w:tcPr>
            <w:tcW w:w="1568"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Highest price paid per share</w:t>
            </w:r>
          </w:p>
        </w:tc>
        <w:tc>
          <w:tcPr>
            <w:tcW w:w="1545" w:type="dxa"/>
            <w:tcBorders>
              <w:top w:val="single" w:sz="4" w:space="0" w:color="000000"/>
              <w:left w:val="single" w:sz="4" w:space="0" w:color="000000"/>
              <w:bottom w:val="single" w:sz="12" w:space="0" w:color="000000"/>
            </w:tcBorders>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Lowest price paid per share</w:t>
            </w:r>
          </w:p>
        </w:tc>
        <w:tc>
          <w:tcPr>
            <w:tcW w:w="1066" w:type="dxa"/>
            <w:tcBorders>
              <w:top w:val="single" w:sz="4" w:space="0" w:color="000000"/>
              <w:left w:val="single" w:sz="4" w:space="0" w:color="000000"/>
              <w:bottom w:val="single" w:sz="12" w:space="0" w:color="000000"/>
              <w:right w:val="single" w:sz="4" w:space="0" w:color="000000"/>
            </w:tcBorders>
            <w:tcMar>
              <w:right w:w="28" w:type="dxa"/>
            </w:tcMar>
            <w:vAlign w:val="center"/>
          </w:tcPr>
          <w:p>
            <w:pPr>
              <w:pStyle w:val="TableContents"/>
              <w:bidi w:val="0"/>
              <w:spacing w:before="0" w:after="0"/>
              <w:ind w:left="0" w:right="15" w:hanging="0"/>
              <w:jc w:val="center"/>
              <w:rPr>
                <w:rFonts w:ascii="Times New Roman" w:hAnsi="Times New Roman"/>
                <w:b/>
                <w:color w:val="000000"/>
                <w:sz w:val="20"/>
              </w:rPr>
            </w:pPr>
            <w:r>
              <w:rPr>
                <w:rFonts w:ascii="Times New Roman" w:hAnsi="Times New Roman"/>
                <w:b/>
                <w:color w:val="000000"/>
                <w:sz w:val="20"/>
              </w:rPr>
              <w:t>Trading venue</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2026-08-24</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74,498</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9.5520</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9.6360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9.4920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2026-08-24</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46,933</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9.5574</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9.6180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9.4920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2026-08-24</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13.0914</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13.1700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12.9700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2026-08-25</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83,964</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9.5838</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9.6860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9.5020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2026-08-25</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13.0689</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13.1700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12.9600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2026-08-26</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74,003</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9.7086</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9.7820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9.5420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2026-08-26</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50,000</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13.2255</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13.3150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13.1600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2026-08-27</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79,146</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9.9201</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9.9900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9.8420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2026-08-27</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49,526</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9.9201</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9.9900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9.8460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2026-08-27</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37,425</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13.3597</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13.6000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13.1350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2026-08-28</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61,023</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9.5829</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9.6940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9.5120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XLON</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2026-08-28</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42,981</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9.5923</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9.6800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GBP 9.5280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CHIX</w:t>
            </w:r>
          </w:p>
        </w:tc>
      </w:tr>
      <w:tr>
        <w:trPr/>
        <w:tc>
          <w:tcPr>
            <w:tcW w:w="77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2026-08-28</w:t>
            </w:r>
          </w:p>
        </w:tc>
        <w:tc>
          <w:tcPr>
            <w:tcW w:w="2876"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99,036</w:t>
            </w:r>
          </w:p>
        </w:tc>
        <w:tc>
          <w:tcPr>
            <w:tcW w:w="2380"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13.0712</w:t>
            </w:r>
          </w:p>
        </w:tc>
        <w:tc>
          <w:tcPr>
            <w:tcW w:w="1568"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13.2100</w:t>
            </w:r>
          </w:p>
        </w:tc>
        <w:tc>
          <w:tcPr>
            <w:tcW w:w="1545" w:type="dxa"/>
            <w:tcBorders>
              <w:left w:val="single" w:sz="4" w:space="0" w:color="000000"/>
              <w:bottom w:val="single" w:sz="12" w:space="0" w:color="000000"/>
            </w:tcBorders>
            <w:tcMar>
              <w:top w:w="0"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USD 12.9300</w:t>
            </w:r>
          </w:p>
        </w:tc>
        <w:tc>
          <w:tcPr>
            <w:tcW w:w="1066" w:type="dxa"/>
            <w:tcBorders>
              <w:left w:val="single" w:sz="4" w:space="0" w:color="000000"/>
              <w:bottom w:val="single" w:sz="12" w:space="0" w:color="000000"/>
              <w:right w:val="single" w:sz="4" w:space="0" w:color="000000"/>
            </w:tcBorders>
            <w:tcMar>
              <w:top w:w="0" w:type="dxa"/>
              <w:right w:w="28" w:type="dxa"/>
            </w:tcMar>
            <w:vAlign w:val="center"/>
          </w:tcPr>
          <w:p>
            <w:pPr>
              <w:pStyle w:val="TableContents"/>
              <w:bidi w:val="0"/>
              <w:spacing w:before="0" w:after="0"/>
              <w:ind w:left="0" w:right="15" w:hanging="0"/>
              <w:jc w:val="center"/>
              <w:rPr>
                <w:rFonts w:ascii="Times New Roman" w:hAnsi="Times New Roman"/>
                <w:color w:val="000000"/>
                <w:sz w:val="20"/>
              </w:rPr>
            </w:pPr>
            <w:r>
              <w:rPr>
                <w:rFonts w:ascii="Times New Roman" w:hAnsi="Times New Roman"/>
                <w:color w:val="000000"/>
                <w:sz w:val="20"/>
              </w:rPr>
              <w:t>NASDAQ</w:t>
            </w:r>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The repurchases form part of the Company's share buyback program announced on July 21, 2026 (the "Buyback"). In connection with the Buyback, the Company expects to repurchase up to £405 million (approximately $540 million) of its Class A ordinary shares.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accordance with Article 5(1)(b) of Regulation (EU) No 596/2014 (the Market Abuse Regulation) and Commission Delegated Regulation (EU) 2016/1052 as such legislation forms part of law in the United Kingdom (the "UK") by virtue of the EU (Withdrawal) Act 2018 (as may be amended, extended and/or supplemented from time to time), a detailed breakdown of individual trades made by Goldman Sachs International on behalf of the Company as part of the Buyback is scheduled to this announcement. This announcement is also being made for the purposes of the UK Financial Conduct Authority's Listing Rule 14.3.17(2).</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http://www.rns-pdf.londonstockexchange.com/rns/9886S_1-2026-9-1.pdf</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Enquiries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Martin Adams - Investor Relations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owners@wise.com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Sana Rahman - Communications</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press@wise.com</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Brunswick Group</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Charles Pretzlik / Emily Murphy</w:t>
      </w:r>
    </w:p>
    <w:p>
      <w:pPr>
        <w:pStyle w:val="TextBody"/>
        <w:bidi w:val="0"/>
        <w:spacing w:before="0" w:after="0"/>
        <w:ind w:left="0" w:right="0" w:hanging="0"/>
        <w:jc w:val="left"/>
        <w:rPr>
          <w:rFonts w:ascii="Times New Roman" w:hAnsi="Times New Roman"/>
          <w:color w:val="0000FF"/>
          <w:sz w:val="20"/>
          <w:u w:val="single"/>
        </w:rPr>
      </w:pPr>
      <w:r>
        <w:rPr>
          <w:rFonts w:ascii="Times New Roman" w:hAnsi="Times New Roman"/>
          <w:color w:val="0000FF"/>
          <w:sz w:val="20"/>
          <w:u w:val="single"/>
        </w:rPr>
        <w:t>Wise@brunswickgroup.com</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+44 (0) 20 7404 5959</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b/>
          <w:color w:val="000000"/>
          <w:sz w:val="20"/>
        </w:rPr>
      </w:pPr>
      <w:r>
        <w:rPr>
          <w:rFonts w:ascii="Times New Roman" w:hAnsi="Times New Roman"/>
          <w:b/>
          <w:color w:val="000000"/>
          <w:sz w:val="20"/>
        </w:rPr>
        <w:t>About Wise</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Wise is a global technology company, building the best way to move and manage the world's money.</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With Wise Account and Wise Business, people and businesses can hold 40+ currencies, move money between countries and spend money abroad. Large companies and banks use Wise technology too; an entirely new network for the world's money.</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rFonts w:ascii="Times New Roman" w:hAnsi="Times New Roman"/>
          <w:color w:val="000000"/>
          <w:sz w:val="20"/>
        </w:rPr>
      </w:pPr>
      <w:r>
        <w:rPr>
          <w:rFonts w:ascii="Times New Roman" w:hAnsi="Times New Roman"/>
          <w:color w:val="000000"/>
          <w:sz w:val="20"/>
        </w:rPr>
        <w:t>In fiscal year 2026, Wise supported around 19 million people and businesses, processing over $240 billion in cross-border transactions and saving customers over $3 billion.</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r>
        <w:rPr>
          <w:rFonts w:ascii="Times New Roman" w:hAnsi="Times New Roman"/>
          <w:b/>
          <w:sz w:val="20"/>
        </w:rPr>
        <w:t>SIGNATURE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995" w:type="dxa"/>
        <w:jc w:val="left"/>
        <w:tblInd w:w="0" w:type="dxa"/>
        <w:tblLayout w:type="fixed"/>
        <w:tblCellMar>
          <w:top w:w="0" w:type="dxa"/>
          <w:left w:w="0" w:type="dxa"/>
          <w:bottom w:w="0" w:type="dxa"/>
          <w:right w:w="0" w:type="dxa"/>
        </w:tblCellMar>
      </w:tblPr>
      <w:tblGrid>
        <w:gridCol w:w="2135"/>
        <w:gridCol w:w="60"/>
        <w:gridCol w:w="60"/>
        <w:gridCol w:w="60"/>
        <w:gridCol w:w="545"/>
        <w:gridCol w:w="60"/>
        <w:gridCol w:w="2075"/>
      </w:tblGrid>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2680" w:type="dxa"/>
            <w:gridSpan w:val="3"/>
            <w:tcBorders/>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WISE GROUP PLC</w:t>
            </w:r>
          </w:p>
        </w:tc>
      </w:tr>
      <w:tr>
        <w:trPr/>
        <w:tc>
          <w:tcPr>
            <w:tcW w:w="2135" w:type="dxa"/>
            <w:tcBorders/>
            <w:vAlign w:val="center"/>
          </w:tcPr>
          <w:p>
            <w:pPr>
              <w:pStyle w:val="TableContents"/>
              <w:bidi w:val="0"/>
              <w:spacing w:before="0" w:after="0"/>
              <w:jc w:val="left"/>
              <w:rPr/>
            </w:pPr>
            <w:r>
              <w:rPr/>
              <w:t> </w:t>
            </w:r>
          </w:p>
        </w:tc>
        <w:tc>
          <w:tcPr>
            <w:tcW w:w="120" w:type="dxa"/>
            <w:gridSpan w:val="2"/>
            <w:tcBorders/>
            <w:vAlign w:val="center"/>
          </w:tcPr>
          <w:p>
            <w:pPr>
              <w:pStyle w:val="TableContents"/>
              <w:bidi w:val="0"/>
              <w:spacing w:before="0" w:after="0"/>
              <w:jc w:val="left"/>
              <w:rPr/>
            </w:pPr>
            <w:r>
              <w:rPr/>
              <w:t> </w:t>
            </w:r>
          </w:p>
        </w:tc>
        <w:tc>
          <w:tcPr>
            <w:tcW w:w="605" w:type="dxa"/>
            <w:gridSpan w:val="2"/>
            <w:tcBorders/>
            <w:vAlign w:val="center"/>
          </w:tcPr>
          <w:p>
            <w:pPr>
              <w:pStyle w:val="TableContents"/>
              <w:bidi w:val="0"/>
              <w:spacing w:before="0" w:after="0"/>
              <w:jc w:val="left"/>
              <w:rPr/>
            </w:pPr>
            <w:r>
              <w:rPr/>
              <w:t> </w:t>
            </w:r>
          </w:p>
        </w:tc>
        <w:tc>
          <w:tcPr>
            <w:tcW w:w="2135" w:type="dxa"/>
            <w:gridSpan w:val="2"/>
            <w:tcBorders/>
            <w:vAlign w:val="center"/>
          </w:tcPr>
          <w:p>
            <w:pPr>
              <w:pStyle w:val="TableContents"/>
              <w:bidi w:val="0"/>
              <w:spacing w:before="0" w:after="0"/>
              <w:jc w:val="left"/>
              <w:rPr/>
            </w:pPr>
            <w:r>
              <w:rPr/>
              <w:t> </w:t>
            </w:r>
          </w:p>
        </w:tc>
      </w:tr>
      <w:tr>
        <w:trPr/>
        <w:tc>
          <w:tcPr>
            <w:tcW w:w="213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Date: 02 September, 2026</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60" w:type="dxa"/>
            <w:tcBorders/>
            <w:vAlign w:val="center"/>
          </w:tcPr>
          <w:p>
            <w:pPr>
              <w:pStyle w:val="TableContents"/>
              <w:bidi w:val="0"/>
              <w:spacing w:before="0" w:after="0"/>
              <w:jc w:val="left"/>
              <w:rPr/>
            </w:pPr>
            <w:r>
              <w:rPr/>
              <w:t> </w:t>
            </w:r>
          </w:p>
        </w:tc>
        <w:tc>
          <w:tcPr>
            <w:tcW w:w="2075" w:type="dxa"/>
            <w:tcBorders>
              <w:bottom w:val="single" w:sz="12" w:space="0" w:color="000000"/>
            </w:tcBorders>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 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Emmanuel Thomassin</w:t>
            </w:r>
          </w:p>
        </w:tc>
      </w:tr>
      <w:tr>
        <w:trPr/>
        <w:tc>
          <w:tcPr>
            <w:tcW w:w="2135"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60" w:type="dxa"/>
            <w:tcBorders/>
            <w:vAlign w:val="center"/>
          </w:tcPr>
          <w:p>
            <w:pPr>
              <w:pStyle w:val="TableContents"/>
              <w:bidi w:val="0"/>
              <w:spacing w:before="0" w:after="0"/>
              <w:jc w:val="left"/>
              <w:rPr/>
            </w:pPr>
            <w:r>
              <w:rPr/>
              <w:t> </w:t>
            </w:r>
          </w:p>
        </w:tc>
        <w:tc>
          <w:tcPr>
            <w:tcW w:w="54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Title:</w:t>
            </w:r>
          </w:p>
        </w:tc>
        <w:tc>
          <w:tcPr>
            <w:tcW w:w="60" w:type="dxa"/>
            <w:tcBorders/>
            <w:vAlign w:val="center"/>
          </w:tcPr>
          <w:p>
            <w:pPr>
              <w:pStyle w:val="TableContents"/>
              <w:bidi w:val="0"/>
              <w:spacing w:before="0" w:after="0"/>
              <w:jc w:val="left"/>
              <w:rPr/>
            </w:pPr>
            <w:r>
              <w:rPr/>
              <w:t> </w:t>
            </w:r>
          </w:p>
        </w:tc>
        <w:tc>
          <w:tcPr>
            <w:tcW w:w="207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631</Words>
  <Characters>3446</Characters>
  <CharactersWithSpaces>4040</CharactersWithSpaces>
  <Paragraphs>236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