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6k_092426.htm"/>
      <w:bookmarkStart w:id="1" w:name="ksf6k_092426"/>
      <w:bookmarkEnd w:id="0"/>
      <w:bookmarkEnd w:id="1"/>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FORM 6-K</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13a-16 OR 15d-16</w:t>
      </w:r>
    </w:p>
    <w:p>
      <w:pPr>
        <w:pStyle w:val="TextBody"/>
        <w:bidi w:val="0"/>
        <w:spacing w:before="0" w:after="0"/>
        <w:ind w:left="0" w:right="0" w:hanging="0"/>
        <w:jc w:val="center"/>
        <w:rPr>
          <w:b/>
          <w:sz w:val="20"/>
        </w:rPr>
      </w:pPr>
      <w:r>
        <w:rPr>
          <w:b/>
          <w:sz w:val="20"/>
        </w:rPr>
        <w:t>UNDER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Date: 24 September 2026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Commission File Number: 001-43229</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Wise Group plc</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1st Floor, Worship Square</w:t>
      </w:r>
    </w:p>
    <w:p>
      <w:pPr>
        <w:pStyle w:val="TextBody"/>
        <w:bidi w:val="0"/>
        <w:spacing w:before="0" w:after="0"/>
        <w:ind w:left="0" w:right="0" w:hanging="0"/>
        <w:jc w:val="center"/>
        <w:rPr>
          <w:b/>
          <w:sz w:val="20"/>
        </w:rPr>
      </w:pPr>
      <w:r>
        <w:rPr>
          <w:b/>
          <w:sz w:val="20"/>
        </w:rPr>
        <w:t>65 Clifton Street</w:t>
      </w:r>
    </w:p>
    <w:p>
      <w:pPr>
        <w:pStyle w:val="TextBody"/>
        <w:bidi w:val="0"/>
        <w:spacing w:before="0" w:after="0"/>
        <w:ind w:left="0" w:right="0" w:hanging="0"/>
        <w:jc w:val="center"/>
        <w:rPr>
          <w:b/>
          <w:sz w:val="20"/>
        </w:rPr>
      </w:pPr>
      <w:r>
        <w:rPr>
          <w:b/>
          <w:sz w:val="20"/>
        </w:rPr>
        <w:t>London EC2A 4JE</w:t>
      </w:r>
    </w:p>
    <w:p>
      <w:pPr>
        <w:pStyle w:val="TextBody"/>
        <w:bidi w:val="0"/>
        <w:spacing w:before="0" w:after="0"/>
        <w:ind w:left="0" w:right="0" w:hanging="0"/>
        <w:jc w:val="center"/>
        <w:rPr>
          <w:b/>
          <w:sz w:val="20"/>
        </w:rPr>
      </w:pPr>
      <w:r>
        <w:rPr>
          <w:b/>
          <w:sz w:val="20"/>
        </w:rPr>
        <w:t>United Kingdom</w:t>
      </w:r>
    </w:p>
    <w:p>
      <w:pPr>
        <w:pStyle w:val="TextBody"/>
        <w:bidi w:val="0"/>
        <w:spacing w:before="0" w:after="0"/>
        <w:ind w:left="0" w:right="0" w:hanging="0"/>
        <w:jc w:val="center"/>
        <w:rPr>
          <w:sz w:val="20"/>
        </w:rPr>
      </w:pPr>
      <w:r>
        <w:rPr>
          <w:sz w:val="20"/>
        </w:rPr>
        <w:t>(Address of Principal Executive Office)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Indicate by check mark whether the registrant files or will file annual reports under cover of Form 20-F or Form 40-F:</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Form 20-F ☒ Form 40-F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INFORMATION CONTAINED IN THIS REPORT ON FORM 6-K</w:t>
      </w:r>
    </w:p>
    <w:p>
      <w:pPr>
        <w:pStyle w:val="TextBody"/>
        <w:bidi w:val="0"/>
        <w:spacing w:before="0" w:after="0"/>
        <w:ind w:left="0" w:right="0" w:hanging="0"/>
        <w:jc w:val="center"/>
        <w:rPr/>
      </w:pPr>
      <w:r>
        <w:rPr/>
        <w:t> </w:t>
      </w:r>
    </w:p>
    <w:p>
      <w:pPr>
        <w:pStyle w:val="TextBody"/>
        <w:bidi w:val="0"/>
        <w:spacing w:before="0" w:after="0"/>
        <w:ind w:left="0" w:right="0" w:hanging="0"/>
        <w:jc w:val="left"/>
        <w:rPr>
          <w:b/>
          <w:color w:val="222222"/>
          <w:sz w:val="20"/>
        </w:rPr>
      </w:pPr>
      <w:r>
        <w:rPr>
          <w:b/>
          <w:color w:val="222222"/>
          <w:sz w:val="20"/>
        </w:rPr>
        <w:t>24 September 2026</w:t>
      </w:r>
    </w:p>
    <w:p>
      <w:pPr>
        <w:pStyle w:val="TextBody"/>
        <w:bidi w:val="0"/>
        <w:spacing w:before="0" w:after="0"/>
        <w:ind w:left="0" w:right="0" w:hanging="0"/>
        <w:jc w:val="left"/>
        <w:rPr>
          <w:color w:val="222222"/>
        </w:rPr>
      </w:pPr>
      <w:r>
        <w:rPr>
          <w:color w:val="222222"/>
        </w:rPr>
        <w:t> </w:t>
      </w:r>
    </w:p>
    <w:p>
      <w:pPr>
        <w:pStyle w:val="TextBody"/>
        <w:bidi w:val="0"/>
        <w:spacing w:before="0" w:after="0"/>
        <w:ind w:left="0" w:right="0" w:hanging="0"/>
        <w:jc w:val="center"/>
        <w:rPr>
          <w:b/>
          <w:color w:val="222222"/>
          <w:sz w:val="20"/>
        </w:rPr>
      </w:pPr>
      <w:r>
        <w:rPr>
          <w:b/>
          <w:color w:val="222222"/>
          <w:sz w:val="20"/>
        </w:rPr>
        <w:t>Wise Group plc</w:t>
      </w:r>
    </w:p>
    <w:p>
      <w:pPr>
        <w:pStyle w:val="TextBody"/>
        <w:bidi w:val="0"/>
        <w:spacing w:before="0" w:after="0"/>
        <w:ind w:left="0" w:right="0" w:hanging="0"/>
        <w:jc w:val="center"/>
        <w:rPr>
          <w:color w:val="222222"/>
          <w:sz w:val="20"/>
        </w:rPr>
      </w:pPr>
      <w:r>
        <w:rPr>
          <w:color w:val="222222"/>
          <w:sz w:val="20"/>
        </w:rPr>
        <w:t>(the “</w:t>
      </w:r>
      <w:r>
        <w:rPr>
          <w:b/>
          <w:color w:val="222222"/>
          <w:sz w:val="20"/>
        </w:rPr>
        <w:t>Company</w:t>
      </w:r>
      <w:r>
        <w:rPr>
          <w:color w:val="222222"/>
          <w:sz w:val="20"/>
        </w:rPr>
        <w:t>”)</w:t>
      </w:r>
    </w:p>
    <w:p>
      <w:pPr>
        <w:pStyle w:val="TextBody"/>
        <w:bidi w:val="0"/>
        <w:spacing w:before="0" w:after="0"/>
        <w:ind w:left="0" w:right="0" w:hanging="0"/>
        <w:jc w:val="center"/>
        <w:rPr>
          <w:color w:val="222222"/>
        </w:rPr>
      </w:pPr>
      <w:r>
        <w:rPr>
          <w:color w:val="222222"/>
        </w:rPr>
        <w:t> </w:t>
      </w:r>
    </w:p>
    <w:p>
      <w:pPr>
        <w:pStyle w:val="TextBody"/>
        <w:bidi w:val="0"/>
        <w:spacing w:before="0" w:after="0"/>
        <w:ind w:left="0" w:right="0" w:hanging="0"/>
        <w:jc w:val="center"/>
        <w:rPr>
          <w:b/>
          <w:color w:val="222222"/>
          <w:sz w:val="20"/>
        </w:rPr>
      </w:pPr>
      <w:r>
        <w:rPr>
          <w:b/>
          <w:color w:val="222222"/>
          <w:sz w:val="20"/>
        </w:rPr>
        <w:t>Publication of AGM Results</w:t>
      </w:r>
    </w:p>
    <w:p>
      <w:pPr>
        <w:pStyle w:val="TextBody"/>
        <w:bidi w:val="0"/>
        <w:spacing w:before="0" w:after="0"/>
        <w:ind w:left="0" w:right="0" w:hanging="0"/>
        <w:jc w:val="both"/>
        <w:rPr>
          <w:color w:val="222222"/>
        </w:rPr>
      </w:pPr>
      <w:r>
        <w:rPr>
          <w:color w:val="222222"/>
        </w:rPr>
        <w:t> </w:t>
      </w:r>
    </w:p>
    <w:p>
      <w:pPr>
        <w:pStyle w:val="TextBody"/>
        <w:bidi w:val="0"/>
        <w:spacing w:before="0" w:after="0"/>
        <w:ind w:left="0" w:right="0" w:hanging="0"/>
        <w:jc w:val="both"/>
        <w:rPr>
          <w:color w:val="222222"/>
          <w:sz w:val="20"/>
        </w:rPr>
      </w:pPr>
      <w:r>
        <w:rPr>
          <w:color w:val="222222"/>
          <w:sz w:val="20"/>
        </w:rPr>
        <w:t>Following its Annual General Meeting (“</w:t>
      </w:r>
      <w:r>
        <w:rPr>
          <w:b/>
          <w:color w:val="222222"/>
          <w:sz w:val="20"/>
        </w:rPr>
        <w:t>AGM</w:t>
      </w:r>
      <w:r>
        <w:rPr>
          <w:color w:val="222222"/>
          <w:sz w:val="20"/>
        </w:rPr>
        <w:t>”) held today, the Company announces the results of the poll vote for each of the resolutions as set out in the Notice of the AGM.</w:t>
      </w:r>
    </w:p>
    <w:p>
      <w:pPr>
        <w:pStyle w:val="TextBody"/>
        <w:bidi w:val="0"/>
        <w:spacing w:before="0" w:after="0"/>
        <w:ind w:left="0" w:right="0" w:hanging="0"/>
        <w:jc w:val="both"/>
        <w:rPr>
          <w:color w:val="222222"/>
        </w:rPr>
      </w:pPr>
      <w:r>
        <w:rPr>
          <w:color w:val="222222"/>
        </w:rPr>
        <w:t> </w:t>
      </w:r>
    </w:p>
    <w:p>
      <w:pPr>
        <w:pStyle w:val="TextBody"/>
        <w:bidi w:val="0"/>
        <w:spacing w:before="0" w:after="0"/>
        <w:ind w:left="0" w:right="0" w:hanging="0"/>
        <w:jc w:val="both"/>
        <w:rPr>
          <w:color w:val="222222"/>
          <w:sz w:val="20"/>
        </w:rPr>
      </w:pPr>
      <w:r>
        <w:rPr>
          <w:color w:val="222222"/>
          <w:sz w:val="20"/>
        </w:rPr>
        <w:t>All resolutions were passed as ordinary resolutions.</w:t>
      </w:r>
    </w:p>
    <w:p>
      <w:pPr>
        <w:pStyle w:val="TextBody"/>
        <w:bidi w:val="0"/>
        <w:spacing w:before="0" w:after="0"/>
        <w:ind w:left="0" w:right="0" w:hanging="0"/>
        <w:jc w:val="both"/>
        <w:rPr>
          <w:color w:val="222222"/>
        </w:rPr>
      </w:pPr>
      <w:r>
        <w:rPr>
          <w:color w:val="222222"/>
        </w:rPr>
        <w:t> </w:t>
      </w:r>
    </w:p>
    <w:p>
      <w:pPr>
        <w:pStyle w:val="TextBody"/>
        <w:bidi w:val="0"/>
        <w:spacing w:before="0" w:after="0"/>
        <w:ind w:left="0" w:right="0" w:hanging="0"/>
        <w:jc w:val="both"/>
        <w:rPr>
          <w:color w:val="222222"/>
          <w:sz w:val="20"/>
        </w:rPr>
      </w:pPr>
      <w:r>
        <w:rPr>
          <w:color w:val="222222"/>
          <w:sz w:val="20"/>
        </w:rPr>
        <w:t>The results of the poll for each resolution are as follows:</w:t>
      </w:r>
    </w:p>
    <w:p>
      <w:pPr>
        <w:pStyle w:val="TextBody"/>
        <w:bidi w:val="0"/>
        <w:spacing w:before="0" w:after="0"/>
        <w:ind w:left="0" w:right="0" w:hanging="0"/>
        <w:jc w:val="both"/>
        <w:rPr>
          <w:color w:val="222222"/>
        </w:rPr>
      </w:pPr>
      <w:r>
        <w:rPr>
          <w:color w:val="222222"/>
        </w:rPr>
        <w:t> </w:t>
      </w:r>
    </w:p>
    <w:tbl>
      <w:tblPr>
        <w:tblW w:w="10205" w:type="dxa"/>
        <w:jc w:val="left"/>
        <w:tblInd w:w="-10" w:type="dxa"/>
        <w:tblLayout w:type="fixed"/>
        <w:tblCellMar>
          <w:top w:w="60" w:type="dxa"/>
          <w:left w:w="60" w:type="dxa"/>
          <w:bottom w:w="28" w:type="dxa"/>
          <w:right w:w="28" w:type="dxa"/>
        </w:tblCellMar>
      </w:tblPr>
      <w:tblGrid>
        <w:gridCol w:w="151"/>
        <w:gridCol w:w="4077"/>
        <w:gridCol w:w="1205"/>
        <w:gridCol w:w="550"/>
        <w:gridCol w:w="950"/>
        <w:gridCol w:w="650"/>
        <w:gridCol w:w="1205"/>
        <w:gridCol w:w="528"/>
        <w:gridCol w:w="889"/>
      </w:tblGrid>
      <w:tr>
        <w:trPr/>
        <w:tc>
          <w:tcPr>
            <w:tcW w:w="422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color w:val="222222"/>
                <w:sz w:val="20"/>
              </w:rPr>
            </w:pPr>
            <w:r>
              <w:rPr>
                <w:color w:val="222222"/>
                <w:sz w:val="20"/>
              </w:rPr>
              <w:t>Resolution</w:t>
            </w:r>
          </w:p>
        </w:tc>
        <w:tc>
          <w:tcPr>
            <w:tcW w:w="12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222222"/>
                <w:sz w:val="20"/>
              </w:rPr>
            </w:pPr>
            <w:r>
              <w:rPr>
                <w:color w:val="222222"/>
                <w:sz w:val="20"/>
              </w:rPr>
              <w:t xml:space="preserve">Votes for </w:t>
            </w:r>
          </w:p>
        </w:tc>
        <w:tc>
          <w:tcPr>
            <w:tcW w:w="550" w:type="dxa"/>
            <w:tcBorders>
              <w:top w:val="single" w:sz="8" w:space="0" w:color="000000"/>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color w:val="222222"/>
                <w:sz w:val="20"/>
              </w:rPr>
            </w:pPr>
            <w:r>
              <w:rPr>
                <w:color w:val="222222"/>
                <w:sz w:val="20"/>
              </w:rPr>
              <w:t>For</w:t>
            </w:r>
          </w:p>
          <w:p>
            <w:pPr>
              <w:pStyle w:val="TableContents"/>
              <w:bidi w:val="0"/>
              <w:spacing w:before="0" w:after="0"/>
              <w:ind w:left="0" w:right="0" w:hanging="0"/>
              <w:jc w:val="left"/>
              <w:rPr>
                <w:color w:val="222222"/>
                <w:sz w:val="20"/>
              </w:rPr>
            </w:pPr>
            <w:r>
              <w:rPr>
                <w:color w:val="222222"/>
                <w:sz w:val="20"/>
              </w:rPr>
              <w:t>(% of</w:t>
            </w:r>
          </w:p>
          <w:p>
            <w:pPr>
              <w:pStyle w:val="TableContents"/>
              <w:bidi w:val="0"/>
              <w:spacing w:before="0" w:after="0"/>
              <w:ind w:left="0" w:right="0" w:hanging="0"/>
              <w:jc w:val="left"/>
              <w:rPr>
                <w:color w:val="222222"/>
                <w:sz w:val="20"/>
              </w:rPr>
            </w:pPr>
            <w:r>
              <w:rPr>
                <w:color w:val="222222"/>
                <w:sz w:val="20"/>
              </w:rPr>
              <w:t>shares</w:t>
            </w:r>
          </w:p>
          <w:p>
            <w:pPr>
              <w:pStyle w:val="TableContents"/>
              <w:bidi w:val="0"/>
              <w:spacing w:before="0" w:after="0"/>
              <w:ind w:left="0" w:right="0" w:hanging="0"/>
              <w:jc w:val="left"/>
              <w:rPr>
                <w:color w:val="222222"/>
                <w:sz w:val="20"/>
              </w:rPr>
            </w:pPr>
            <w:r>
              <w:rPr>
                <w:color w:val="222222"/>
                <w:sz w:val="20"/>
              </w:rPr>
              <w:t>voted)</w:t>
            </w:r>
          </w:p>
        </w:tc>
        <w:tc>
          <w:tcPr>
            <w:tcW w:w="950" w:type="dxa"/>
            <w:tcBorders>
              <w:top w:val="single" w:sz="8" w:space="0" w:color="000000"/>
              <w:bottom w:val="single" w:sz="8" w:space="0" w:color="000000"/>
              <w:right w:val="single" w:sz="8" w:space="0" w:color="000000"/>
            </w:tcBorders>
            <w:tcMar>
              <w:left w:w="0" w:type="dxa"/>
            </w:tcMar>
            <w:vAlign w:val="center"/>
          </w:tcPr>
          <w:p>
            <w:pPr>
              <w:pStyle w:val="TableContents"/>
              <w:bidi w:val="0"/>
              <w:jc w:val="left"/>
              <w:rPr>
                <w:color w:val="222222"/>
                <w:sz w:val="20"/>
              </w:rPr>
            </w:pPr>
            <w:r>
              <w:rPr>
                <w:color w:val="222222"/>
                <w:sz w:val="20"/>
              </w:rPr>
              <w:t>Votes</w:t>
            </w:r>
          </w:p>
          <w:p>
            <w:pPr>
              <w:pStyle w:val="TableContents"/>
              <w:bidi w:val="0"/>
              <w:spacing w:before="0" w:after="283"/>
              <w:jc w:val="left"/>
              <w:rPr>
                <w:color w:val="222222"/>
                <w:sz w:val="20"/>
              </w:rPr>
            </w:pPr>
            <w:r>
              <w:rPr>
                <w:color w:val="222222"/>
                <w:sz w:val="20"/>
              </w:rPr>
              <w:t>against</w:t>
            </w:r>
          </w:p>
        </w:tc>
        <w:tc>
          <w:tcPr>
            <w:tcW w:w="650" w:type="dxa"/>
            <w:tcBorders>
              <w:top w:val="single" w:sz="8" w:space="0" w:color="000000"/>
              <w:bottom w:val="single" w:sz="8" w:space="0" w:color="000000"/>
              <w:right w:val="single" w:sz="8" w:space="0" w:color="000000"/>
            </w:tcBorders>
            <w:tcMar>
              <w:left w:w="0" w:type="dxa"/>
            </w:tcMar>
            <w:vAlign w:val="center"/>
          </w:tcPr>
          <w:p>
            <w:pPr>
              <w:pStyle w:val="TableContents"/>
              <w:bidi w:val="0"/>
              <w:jc w:val="left"/>
              <w:rPr>
                <w:color w:val="222222"/>
                <w:sz w:val="20"/>
              </w:rPr>
            </w:pPr>
            <w:r>
              <w:rPr>
                <w:color w:val="222222"/>
                <w:sz w:val="20"/>
              </w:rPr>
              <w:t>Against</w:t>
            </w:r>
          </w:p>
          <w:p>
            <w:pPr>
              <w:pStyle w:val="TableContents"/>
              <w:bidi w:val="0"/>
              <w:jc w:val="left"/>
              <w:rPr>
                <w:color w:val="222222"/>
                <w:sz w:val="20"/>
              </w:rPr>
            </w:pPr>
            <w:r>
              <w:rPr>
                <w:color w:val="222222"/>
                <w:sz w:val="20"/>
              </w:rPr>
              <w:t>(% of</w:t>
            </w:r>
          </w:p>
          <w:p>
            <w:pPr>
              <w:pStyle w:val="TableContents"/>
              <w:bidi w:val="0"/>
              <w:jc w:val="left"/>
              <w:rPr>
                <w:color w:val="222222"/>
                <w:sz w:val="20"/>
              </w:rPr>
            </w:pPr>
            <w:r>
              <w:rPr>
                <w:color w:val="222222"/>
                <w:sz w:val="20"/>
              </w:rPr>
              <w:t>shares</w:t>
            </w:r>
          </w:p>
          <w:p>
            <w:pPr>
              <w:pStyle w:val="TableContents"/>
              <w:bidi w:val="0"/>
              <w:spacing w:before="0" w:after="283"/>
              <w:jc w:val="left"/>
              <w:rPr>
                <w:color w:val="222222"/>
                <w:sz w:val="20"/>
              </w:rPr>
            </w:pPr>
            <w:r>
              <w:rPr>
                <w:color w:val="222222"/>
                <w:sz w:val="20"/>
              </w:rPr>
              <w:t>voted)</w:t>
            </w:r>
          </w:p>
        </w:tc>
        <w:tc>
          <w:tcPr>
            <w:tcW w:w="1205" w:type="dxa"/>
            <w:tcBorders>
              <w:top w:val="single" w:sz="8" w:space="0" w:color="000000"/>
              <w:bottom w:val="single" w:sz="8" w:space="0" w:color="000000"/>
              <w:right w:val="single" w:sz="8" w:space="0" w:color="000000"/>
            </w:tcBorders>
            <w:tcMar>
              <w:left w:w="0" w:type="dxa"/>
            </w:tcMar>
            <w:vAlign w:val="center"/>
          </w:tcPr>
          <w:p>
            <w:pPr>
              <w:pStyle w:val="TableContents"/>
              <w:bidi w:val="0"/>
              <w:jc w:val="left"/>
              <w:rPr>
                <w:color w:val="222222"/>
                <w:sz w:val="20"/>
              </w:rPr>
            </w:pPr>
            <w:r>
              <w:rPr>
                <w:color w:val="222222"/>
                <w:sz w:val="20"/>
              </w:rPr>
              <w:t>Total number</w:t>
            </w:r>
          </w:p>
          <w:p>
            <w:pPr>
              <w:pStyle w:val="TableContents"/>
              <w:bidi w:val="0"/>
              <w:spacing w:before="0" w:after="283"/>
              <w:jc w:val="left"/>
              <w:rPr>
                <w:color w:val="222222"/>
                <w:sz w:val="20"/>
              </w:rPr>
            </w:pPr>
            <w:r>
              <w:rPr>
                <w:color w:val="222222"/>
                <w:sz w:val="20"/>
              </w:rPr>
              <w:t>of votes</w:t>
            </w:r>
          </w:p>
        </w:tc>
        <w:tc>
          <w:tcPr>
            <w:tcW w:w="528" w:type="dxa"/>
            <w:tcBorders>
              <w:top w:val="single" w:sz="8" w:space="0" w:color="000000"/>
              <w:bottom w:val="single" w:sz="8" w:space="0" w:color="000000"/>
              <w:right w:val="single" w:sz="8" w:space="0" w:color="000000"/>
            </w:tcBorders>
            <w:tcMar>
              <w:left w:w="0" w:type="dxa"/>
            </w:tcMar>
            <w:vAlign w:val="center"/>
          </w:tcPr>
          <w:p>
            <w:pPr>
              <w:pStyle w:val="TableContents"/>
              <w:bidi w:val="0"/>
              <w:jc w:val="left"/>
              <w:rPr>
                <w:color w:val="222222"/>
                <w:sz w:val="20"/>
              </w:rPr>
            </w:pPr>
            <w:r>
              <w:rPr>
                <w:color w:val="222222"/>
                <w:sz w:val="20"/>
              </w:rPr>
              <w:t>% of</w:t>
            </w:r>
          </w:p>
          <w:p>
            <w:pPr>
              <w:pStyle w:val="TableContents"/>
              <w:bidi w:val="0"/>
              <w:jc w:val="left"/>
              <w:rPr>
                <w:color w:val="222222"/>
                <w:sz w:val="20"/>
              </w:rPr>
            </w:pPr>
            <w:r>
              <w:rPr>
                <w:color w:val="222222"/>
                <w:sz w:val="20"/>
              </w:rPr>
              <w:t>ISC</w:t>
            </w:r>
          </w:p>
          <w:p>
            <w:pPr>
              <w:pStyle w:val="TableContents"/>
              <w:bidi w:val="0"/>
              <w:spacing w:before="0" w:after="283"/>
              <w:jc w:val="left"/>
              <w:rPr>
                <w:color w:val="222222"/>
                <w:sz w:val="20"/>
              </w:rPr>
            </w:pPr>
            <w:r>
              <w:rPr>
                <w:color w:val="222222"/>
                <w:sz w:val="20"/>
              </w:rPr>
              <w:t>voted*</w:t>
            </w:r>
          </w:p>
        </w:tc>
        <w:tc>
          <w:tcPr>
            <w:tcW w:w="889" w:type="dxa"/>
            <w:tcBorders>
              <w:top w:val="single" w:sz="8" w:space="0" w:color="000000"/>
              <w:bottom w:val="single" w:sz="8" w:space="0" w:color="000000"/>
              <w:right w:val="single" w:sz="8" w:space="0" w:color="000000"/>
            </w:tcBorders>
            <w:tcMar>
              <w:left w:w="0" w:type="dxa"/>
            </w:tcMar>
            <w:vAlign w:val="center"/>
          </w:tcPr>
          <w:p>
            <w:pPr>
              <w:pStyle w:val="TableContents"/>
              <w:bidi w:val="0"/>
              <w:jc w:val="left"/>
              <w:rPr>
                <w:color w:val="222222"/>
                <w:sz w:val="20"/>
              </w:rPr>
            </w:pPr>
            <w:r>
              <w:rPr>
                <w:color w:val="222222"/>
                <w:sz w:val="20"/>
              </w:rPr>
              <w:t>Votes</w:t>
            </w:r>
          </w:p>
          <w:p>
            <w:pPr>
              <w:pStyle w:val="TableContents"/>
              <w:bidi w:val="0"/>
              <w:spacing w:before="0" w:after="283"/>
              <w:ind w:left="0" w:right="0" w:hanging="0"/>
              <w:jc w:val="left"/>
              <w:rPr>
                <w:color w:val="222222"/>
                <w:sz w:val="20"/>
              </w:rPr>
            </w:pPr>
            <w:r>
              <w:rPr>
                <w:color w:val="222222"/>
                <w:sz w:val="20"/>
              </w:rPr>
              <w:t>withheld**</w:t>
            </w:r>
          </w:p>
        </w:tc>
      </w:tr>
      <w:tr>
        <w:trPr/>
        <w:tc>
          <w:tcPr>
            <w:tcW w:w="151"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hanging="0"/>
              <w:jc w:val="left"/>
              <w:rPr>
                <w:color w:val="222222"/>
                <w:sz w:val="20"/>
              </w:rPr>
            </w:pPr>
            <w:r>
              <w:rPr>
                <w:color w:val="222222"/>
                <w:sz w:val="20"/>
              </w:rPr>
              <w:t>1.</w:t>
            </w:r>
          </w:p>
        </w:tc>
        <w:tc>
          <w:tcPr>
            <w:tcW w:w="4077"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color w:val="262931"/>
                <w:sz w:val="20"/>
              </w:rPr>
            </w:pPr>
            <w:r>
              <w:rPr>
                <w:color w:val="262931"/>
                <w:sz w:val="20"/>
              </w:rPr>
              <w:t>To receive the audited financial statements of the Company for the financial year ended 31 March 2026</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2,092,746,403</w:t>
            </w:r>
          </w:p>
        </w:tc>
        <w:tc>
          <w:tcPr>
            <w:tcW w:w="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99.98%</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376,417</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0.02%</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2,093,122,820</w:t>
            </w:r>
          </w:p>
        </w:tc>
        <w:tc>
          <w:tcPr>
            <w:tcW w:w="5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74.72%</w:t>
            </w:r>
          </w:p>
        </w:tc>
        <w:tc>
          <w:tcPr>
            <w:tcW w:w="88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color w:val="222222"/>
                <w:sz w:val="20"/>
              </w:rPr>
            </w:pPr>
            <w:r>
              <w:rPr>
                <w:color w:val="222222"/>
                <w:sz w:val="20"/>
              </w:rPr>
              <w:t>5,146,617</w:t>
            </w:r>
          </w:p>
        </w:tc>
      </w:tr>
      <w:tr>
        <w:trPr/>
        <w:tc>
          <w:tcPr>
            <w:tcW w:w="151"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hanging="0"/>
              <w:jc w:val="left"/>
              <w:rPr>
                <w:color w:val="222222"/>
                <w:sz w:val="20"/>
              </w:rPr>
            </w:pPr>
            <w:r>
              <w:rPr>
                <w:color w:val="222222"/>
                <w:sz w:val="20"/>
              </w:rPr>
              <w:t>2.</w:t>
            </w:r>
          </w:p>
        </w:tc>
        <w:tc>
          <w:tcPr>
            <w:tcW w:w="4077"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color w:val="262931"/>
                <w:sz w:val="20"/>
              </w:rPr>
            </w:pPr>
            <w:r>
              <w:rPr>
                <w:color w:val="262931"/>
                <w:sz w:val="20"/>
              </w:rPr>
              <w:t>To appoint PricewaterhouseCoopers LLP as auditors of the Company</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2,094,796,421</w:t>
            </w:r>
          </w:p>
        </w:tc>
        <w:tc>
          <w:tcPr>
            <w:tcW w:w="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99.85%</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3,138,668</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0.15%</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2,097,935,089</w:t>
            </w:r>
          </w:p>
        </w:tc>
        <w:tc>
          <w:tcPr>
            <w:tcW w:w="5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74.89%</w:t>
            </w:r>
          </w:p>
        </w:tc>
        <w:tc>
          <w:tcPr>
            <w:tcW w:w="88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color w:val="222222"/>
                <w:sz w:val="20"/>
              </w:rPr>
            </w:pPr>
            <w:r>
              <w:rPr>
                <w:color w:val="222222"/>
                <w:sz w:val="20"/>
              </w:rPr>
              <w:t>334,348</w:t>
            </w:r>
          </w:p>
        </w:tc>
      </w:tr>
      <w:tr>
        <w:trPr/>
        <w:tc>
          <w:tcPr>
            <w:tcW w:w="151"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hanging="0"/>
              <w:jc w:val="left"/>
              <w:rPr>
                <w:color w:val="222222"/>
                <w:sz w:val="20"/>
              </w:rPr>
            </w:pPr>
            <w:r>
              <w:rPr>
                <w:color w:val="222222"/>
                <w:sz w:val="20"/>
              </w:rPr>
              <w:t>3.</w:t>
            </w:r>
          </w:p>
        </w:tc>
        <w:tc>
          <w:tcPr>
            <w:tcW w:w="4077"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color w:val="262931"/>
                <w:sz w:val="20"/>
              </w:rPr>
            </w:pPr>
            <w:r>
              <w:rPr>
                <w:color w:val="262931"/>
                <w:sz w:val="20"/>
              </w:rPr>
              <w:t>To authorise the Directors, acting through the Audit Committee, to determine the remuneration of the Company’s auditors</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2,097,180,491</w:t>
            </w:r>
          </w:p>
        </w:tc>
        <w:tc>
          <w:tcPr>
            <w:tcW w:w="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99.96%</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773,434</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0.04%</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2,097,953,925</w:t>
            </w:r>
          </w:p>
        </w:tc>
        <w:tc>
          <w:tcPr>
            <w:tcW w:w="5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74.89%</w:t>
            </w:r>
          </w:p>
        </w:tc>
        <w:tc>
          <w:tcPr>
            <w:tcW w:w="88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color w:val="222222"/>
                <w:sz w:val="20"/>
              </w:rPr>
            </w:pPr>
            <w:r>
              <w:rPr>
                <w:color w:val="222222"/>
                <w:sz w:val="20"/>
              </w:rPr>
              <w:t>315,512</w:t>
            </w:r>
          </w:p>
        </w:tc>
      </w:tr>
      <w:tr>
        <w:trPr/>
        <w:tc>
          <w:tcPr>
            <w:tcW w:w="151"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hanging="0"/>
              <w:jc w:val="left"/>
              <w:rPr>
                <w:color w:val="222222"/>
                <w:sz w:val="20"/>
              </w:rPr>
            </w:pPr>
            <w:r>
              <w:rPr>
                <w:color w:val="222222"/>
                <w:sz w:val="20"/>
              </w:rPr>
              <w:t>4.</w:t>
            </w:r>
          </w:p>
        </w:tc>
        <w:tc>
          <w:tcPr>
            <w:tcW w:w="4077"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color w:val="262931"/>
                <w:sz w:val="20"/>
              </w:rPr>
            </w:pPr>
            <w:r>
              <w:rPr>
                <w:color w:val="262931"/>
                <w:sz w:val="20"/>
              </w:rPr>
              <w:t>To elect David Bolling Wells as a Director</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2,046,049,234</w:t>
            </w:r>
          </w:p>
        </w:tc>
        <w:tc>
          <w:tcPr>
            <w:tcW w:w="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97.54%</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51,532,250</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2.46%</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2,097,581,484</w:t>
            </w:r>
          </w:p>
        </w:tc>
        <w:tc>
          <w:tcPr>
            <w:tcW w:w="5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74.88%</w:t>
            </w:r>
          </w:p>
        </w:tc>
        <w:tc>
          <w:tcPr>
            <w:tcW w:w="88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color w:val="222222"/>
                <w:sz w:val="20"/>
              </w:rPr>
            </w:pPr>
            <w:r>
              <w:rPr>
                <w:color w:val="222222"/>
                <w:sz w:val="20"/>
              </w:rPr>
              <w:t>687,953</w:t>
            </w:r>
          </w:p>
        </w:tc>
      </w:tr>
      <w:tr>
        <w:trPr/>
        <w:tc>
          <w:tcPr>
            <w:tcW w:w="151"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hanging="0"/>
              <w:jc w:val="left"/>
              <w:rPr>
                <w:color w:val="222222"/>
                <w:sz w:val="20"/>
              </w:rPr>
            </w:pPr>
            <w:r>
              <w:rPr>
                <w:color w:val="222222"/>
                <w:sz w:val="20"/>
              </w:rPr>
              <w:t>5.</w:t>
            </w:r>
          </w:p>
        </w:tc>
        <w:tc>
          <w:tcPr>
            <w:tcW w:w="4077"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color w:val="262931"/>
                <w:sz w:val="20"/>
              </w:rPr>
            </w:pPr>
            <w:r>
              <w:rPr>
                <w:color w:val="262931"/>
                <w:sz w:val="20"/>
              </w:rPr>
              <w:t>To elect Emmanuel Thomassin as a Director</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2,076,333,069</w:t>
            </w:r>
          </w:p>
        </w:tc>
        <w:tc>
          <w:tcPr>
            <w:tcW w:w="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98.98%</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21,300,787</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1.02%</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2,097,633,856</w:t>
            </w:r>
          </w:p>
        </w:tc>
        <w:tc>
          <w:tcPr>
            <w:tcW w:w="5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74.88%</w:t>
            </w:r>
          </w:p>
        </w:tc>
        <w:tc>
          <w:tcPr>
            <w:tcW w:w="88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color w:val="222222"/>
                <w:sz w:val="20"/>
              </w:rPr>
            </w:pPr>
            <w:r>
              <w:rPr>
                <w:color w:val="222222"/>
                <w:sz w:val="20"/>
              </w:rPr>
              <w:t>635,581</w:t>
            </w:r>
          </w:p>
        </w:tc>
      </w:tr>
      <w:tr>
        <w:trPr/>
        <w:tc>
          <w:tcPr>
            <w:tcW w:w="151"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hanging="0"/>
              <w:jc w:val="left"/>
              <w:rPr>
                <w:color w:val="222222"/>
                <w:sz w:val="20"/>
              </w:rPr>
            </w:pPr>
            <w:r>
              <w:rPr>
                <w:color w:val="222222"/>
                <w:sz w:val="20"/>
              </w:rPr>
              <w:t>6.</w:t>
            </w:r>
          </w:p>
        </w:tc>
        <w:tc>
          <w:tcPr>
            <w:tcW w:w="4077"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color w:val="262931"/>
                <w:sz w:val="20"/>
              </w:rPr>
            </w:pPr>
            <w:r>
              <w:rPr>
                <w:color w:val="262931"/>
                <w:sz w:val="20"/>
              </w:rPr>
              <w:t>To elect Terri Lynn Duhon as a Director</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2,097,024,785</w:t>
            </w:r>
          </w:p>
        </w:tc>
        <w:tc>
          <w:tcPr>
            <w:tcW w:w="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99.96%</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798,767</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0.04%</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2,097,823,552</w:t>
            </w:r>
          </w:p>
        </w:tc>
        <w:tc>
          <w:tcPr>
            <w:tcW w:w="5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74.89%</w:t>
            </w:r>
          </w:p>
        </w:tc>
        <w:tc>
          <w:tcPr>
            <w:tcW w:w="88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sz w:val="20"/>
              </w:rPr>
            </w:pPr>
            <w:r>
              <w:rPr>
                <w:sz w:val="20"/>
              </w:rPr>
              <w:t>445,885</w:t>
            </w:r>
          </w:p>
        </w:tc>
      </w:tr>
      <w:tr>
        <w:trPr/>
        <w:tc>
          <w:tcPr>
            <w:tcW w:w="151"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hanging="0"/>
              <w:jc w:val="left"/>
              <w:rPr>
                <w:color w:val="222222"/>
                <w:sz w:val="20"/>
              </w:rPr>
            </w:pPr>
            <w:r>
              <w:rPr>
                <w:color w:val="222222"/>
                <w:sz w:val="20"/>
              </w:rPr>
              <w:t>7.</w:t>
            </w:r>
          </w:p>
        </w:tc>
        <w:tc>
          <w:tcPr>
            <w:tcW w:w="4077"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color w:val="262931"/>
                <w:sz w:val="20"/>
              </w:rPr>
            </w:pPr>
            <w:r>
              <w:rPr>
                <w:color w:val="262931"/>
                <w:sz w:val="20"/>
              </w:rPr>
              <w:t>To elect Hooi Ling Tan as a Director</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2,053,393,322</w:t>
            </w:r>
          </w:p>
        </w:tc>
        <w:tc>
          <w:tcPr>
            <w:tcW w:w="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97.89%</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44,182,746</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2.11%</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2,097,576,068</w:t>
            </w:r>
          </w:p>
        </w:tc>
        <w:tc>
          <w:tcPr>
            <w:tcW w:w="5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74.88%</w:t>
            </w:r>
          </w:p>
        </w:tc>
        <w:tc>
          <w:tcPr>
            <w:tcW w:w="88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color w:val="222222"/>
                <w:sz w:val="20"/>
              </w:rPr>
            </w:pPr>
            <w:r>
              <w:rPr>
                <w:color w:val="222222"/>
                <w:sz w:val="20"/>
              </w:rPr>
              <w:t>693,369</w:t>
            </w:r>
          </w:p>
        </w:tc>
      </w:tr>
      <w:tr>
        <w:trPr/>
        <w:tc>
          <w:tcPr>
            <w:tcW w:w="151"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hanging="0"/>
              <w:jc w:val="left"/>
              <w:rPr>
                <w:color w:val="222222"/>
                <w:sz w:val="20"/>
              </w:rPr>
            </w:pPr>
            <w:r>
              <w:rPr>
                <w:color w:val="222222"/>
                <w:sz w:val="20"/>
              </w:rPr>
              <w:t>8.</w:t>
            </w:r>
          </w:p>
        </w:tc>
        <w:tc>
          <w:tcPr>
            <w:tcW w:w="4077"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color w:val="262931"/>
                <w:sz w:val="20"/>
              </w:rPr>
            </w:pPr>
            <w:r>
              <w:rPr>
                <w:color w:val="262931"/>
                <w:sz w:val="20"/>
              </w:rPr>
              <w:t>To authorise the Company to purchase own shares</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2,097,582,802</w:t>
            </w:r>
          </w:p>
        </w:tc>
        <w:tc>
          <w:tcPr>
            <w:tcW w:w="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99.98%</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343,312</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0.02%</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2,097,926,114</w:t>
            </w:r>
          </w:p>
        </w:tc>
        <w:tc>
          <w:tcPr>
            <w:tcW w:w="5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74.89%</w:t>
            </w:r>
          </w:p>
        </w:tc>
        <w:tc>
          <w:tcPr>
            <w:tcW w:w="8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222222"/>
                <w:sz w:val="20"/>
              </w:rPr>
            </w:pPr>
            <w:r>
              <w:rPr>
                <w:color w:val="222222"/>
                <w:sz w:val="20"/>
              </w:rPr>
              <w:t>343,323</w:t>
            </w:r>
          </w:p>
        </w:tc>
      </w:tr>
    </w:tbl>
    <w:p>
      <w:pPr>
        <w:pStyle w:val="TextBody"/>
        <w:bidi w:val="0"/>
        <w:spacing w:before="0" w:after="0"/>
        <w:ind w:left="0" w:right="0" w:hanging="0"/>
        <w:jc w:val="both"/>
        <w:rPr>
          <w:color w:val="222222"/>
        </w:rPr>
      </w:pPr>
      <w:r>
        <w:rPr>
          <w:color w:val="222222"/>
        </w:rPr>
        <w:t> </w:t>
      </w:r>
    </w:p>
    <w:p>
      <w:pPr>
        <w:pStyle w:val="TextBody"/>
        <w:bidi w:val="0"/>
        <w:spacing w:before="0" w:after="0"/>
        <w:ind w:left="0" w:right="0" w:hanging="0"/>
        <w:jc w:val="both"/>
        <w:rPr>
          <w:color w:val="222222"/>
          <w:sz w:val="20"/>
        </w:rPr>
      </w:pPr>
      <w:r>
        <w:rPr>
          <w:color w:val="222222"/>
          <w:sz w:val="20"/>
        </w:rPr>
        <w:t>* In accordance with the Company’s Articles of Association, Kristo Käärmann’s voting rights have been capped to one vote below 50% of the total votes eligible to be cast in respect of any shareholder resolution. Accordingly, when calculating the total exercisable voting rights for the 2026 AGM, the Company’s percentage of issued share capital voted has been reduced proportionately as explained below.</w:t>
      </w:r>
    </w:p>
    <w:p>
      <w:pPr>
        <w:pStyle w:val="TextBody"/>
        <w:bidi w:val="0"/>
        <w:spacing w:before="0" w:after="0"/>
        <w:ind w:left="0" w:right="0" w:hanging="0"/>
        <w:jc w:val="both"/>
        <w:rPr>
          <w:color w:val="222222"/>
        </w:rPr>
      </w:pPr>
      <w:r>
        <w:rPr>
          <w:color w:val="222222"/>
        </w:rPr>
        <w:t> </w:t>
      </w:r>
    </w:p>
    <w:p>
      <w:pPr>
        <w:pStyle w:val="TextBody"/>
        <w:bidi w:val="0"/>
        <w:spacing w:before="0" w:after="0"/>
        <w:ind w:left="0" w:right="0" w:hanging="0"/>
        <w:jc w:val="both"/>
        <w:rPr>
          <w:color w:val="222222"/>
          <w:sz w:val="20"/>
        </w:rPr>
      </w:pPr>
      <w:r>
        <w:rPr>
          <w:color w:val="222222"/>
          <w:sz w:val="20"/>
        </w:rPr>
        <w:t>The Company's issued share capital consists of (a) 1,020,742,294 Class A Ordinary Shares with a par value of $0.01 each ("</w:t>
      </w:r>
      <w:r>
        <w:rPr>
          <w:b/>
          <w:color w:val="222222"/>
          <w:sz w:val="20"/>
        </w:rPr>
        <w:t>Class A Shares</w:t>
      </w:r>
      <w:r>
        <w:rPr>
          <w:color w:val="222222"/>
          <w:sz w:val="20"/>
        </w:rPr>
        <w:t>"), and (b) 197,838,749 Class B Ordinary Shares with par value of $0.000000001 each (“</w:t>
      </w:r>
      <w:r>
        <w:rPr>
          <w:b/>
          <w:color w:val="222222"/>
          <w:sz w:val="20"/>
        </w:rPr>
        <w:t>Class B Shares</w:t>
      </w:r>
      <w:r>
        <w:rPr>
          <w:color w:val="222222"/>
          <w:sz w:val="20"/>
        </w:rPr>
        <w:t>”). The Company holds at this time 4,422,268 Class A Shares in Treasury which do not carry voting rights. The total number of voting rights attributable to the Class A Shares is 1,020,742,294 and the total number of voting rights attributable to the Class B Shares is 1,780,548,741. Therefore the total number of voting rights in the Company in aggregate across the Class A Shares and the Class B Shares is 2,801,291,035</w:t>
      </w:r>
      <w:r>
        <w:rPr>
          <w:b/>
          <w:color w:val="222222"/>
          <w:sz w:val="20"/>
        </w:rPr>
        <w:t>.</w:t>
      </w:r>
    </w:p>
    <w:p>
      <w:pPr>
        <w:pStyle w:val="TextBody"/>
        <w:bidi w:val="0"/>
        <w:spacing w:before="0" w:after="0"/>
        <w:ind w:left="0" w:right="0" w:hanging="0"/>
        <w:jc w:val="both"/>
        <w:rPr>
          <w:color w:val="222222"/>
        </w:rPr>
      </w:pPr>
      <w:r>
        <w:rPr>
          <w:color w:val="222222"/>
        </w:rPr>
        <w:t> </w:t>
      </w:r>
    </w:p>
    <w:p>
      <w:pPr>
        <w:pStyle w:val="TextBody"/>
        <w:bidi w:val="0"/>
        <w:spacing w:before="0" w:after="0"/>
        <w:ind w:left="0" w:right="0" w:hanging="0"/>
        <w:jc w:val="both"/>
        <w:rPr>
          <w:color w:val="222222"/>
          <w:sz w:val="20"/>
        </w:rPr>
      </w:pPr>
      <w:r>
        <w:rPr>
          <w:color w:val="222222"/>
          <w:sz w:val="20"/>
        </w:rPr>
        <w:t>After accounting for the total number of Class B Share voting rights that will be restricted as a result of the above mentioned cap, the total exercisable voting rights in the Company in aggregate across the Class A Shares and Class B Shares is 2,316,423,151.</w:t>
      </w:r>
    </w:p>
    <w:p>
      <w:pPr>
        <w:pStyle w:val="TextBody"/>
        <w:bidi w:val="0"/>
        <w:spacing w:before="0" w:after="0"/>
        <w:ind w:left="0" w:right="0" w:hanging="0"/>
        <w:jc w:val="both"/>
        <w:rPr>
          <w:color w:val="222222"/>
        </w:rPr>
      </w:pPr>
      <w:r>
        <w:rPr>
          <w:color w:val="222222"/>
        </w:rPr>
        <w:t> </w:t>
      </w:r>
    </w:p>
    <w:p>
      <w:pPr>
        <w:pStyle w:val="TextBody"/>
        <w:bidi w:val="0"/>
        <w:spacing w:before="0" w:after="0"/>
        <w:ind w:left="0" w:right="0" w:hanging="0"/>
        <w:jc w:val="both"/>
        <w:rPr>
          <w:color w:val="222222"/>
          <w:sz w:val="20"/>
        </w:rPr>
      </w:pPr>
      <w:r>
        <w:rPr>
          <w:color w:val="222222"/>
          <w:sz w:val="20"/>
        </w:rPr>
        <w:t>** A “Vote withheld” is not a vote in law and is not counted in the calculation of the votes ‘For’ or ‘Against’ a resolution.</w:t>
      </w:r>
    </w:p>
    <w:p>
      <w:pPr>
        <w:pStyle w:val="TextBody"/>
        <w:bidi w:val="0"/>
        <w:spacing w:before="0" w:after="0"/>
        <w:ind w:left="0" w:right="0" w:hanging="0"/>
        <w:jc w:val="both"/>
        <w:rPr>
          <w:color w:val="222222"/>
        </w:rPr>
      </w:pPr>
      <w:r>
        <w:rPr>
          <w:color w:val="222222"/>
        </w:rPr>
        <w:t> </w:t>
      </w:r>
    </w:p>
    <w:p>
      <w:pPr>
        <w:pStyle w:val="TextBody"/>
        <w:bidi w:val="0"/>
        <w:spacing w:before="0" w:after="0"/>
        <w:ind w:left="0" w:right="0" w:hanging="0"/>
        <w:jc w:val="both"/>
        <w:rPr>
          <w:b/>
          <w:color w:val="222222"/>
          <w:sz w:val="20"/>
        </w:rPr>
      </w:pPr>
      <w:r>
        <w:rPr>
          <w:b/>
          <w:color w:val="222222"/>
          <w:sz w:val="20"/>
        </w:rPr>
        <w:t>Notes:</w:t>
      </w:r>
    </w:p>
    <w:p>
      <w:pPr>
        <w:pStyle w:val="TextBody"/>
        <w:bidi w:val="0"/>
        <w:spacing w:before="0" w:after="0"/>
        <w:ind w:left="0" w:right="0" w:hanging="0"/>
        <w:jc w:val="both"/>
        <w:rPr>
          <w:color w:val="222222"/>
        </w:rPr>
      </w:pPr>
      <w:r>
        <w:rPr>
          <w:color w:val="222222"/>
        </w:rPr>
        <w:t> </w:t>
      </w:r>
    </w:p>
    <w:p>
      <w:pPr>
        <w:pStyle w:val="TextBody"/>
        <w:bidi w:val="0"/>
        <w:spacing w:before="0" w:after="0"/>
        <w:ind w:left="0" w:right="0" w:hanging="0"/>
        <w:jc w:val="both"/>
        <w:rPr>
          <w:color w:val="222222"/>
          <w:sz w:val="20"/>
        </w:rPr>
      </w:pPr>
      <w:r>
        <w:rPr>
          <w:color w:val="222222"/>
          <w:sz w:val="20"/>
        </w:rPr>
        <w:t>Computershare, the Company’s Share Registrar, acted as scrutineer of the poll on all resolutions.</w:t>
      </w:r>
    </w:p>
    <w:p>
      <w:pPr>
        <w:pStyle w:val="TextBody"/>
        <w:bidi w:val="0"/>
        <w:spacing w:before="0" w:after="0"/>
        <w:ind w:left="0" w:right="0" w:hanging="0"/>
        <w:jc w:val="both"/>
        <w:rPr>
          <w:color w:val="222222"/>
        </w:rPr>
      </w:pPr>
      <w:r>
        <w:rPr>
          <w:color w:val="222222"/>
        </w:rPr>
        <w:t> </w:t>
      </w:r>
    </w:p>
    <w:p>
      <w:pPr>
        <w:pStyle w:val="TextBody"/>
        <w:bidi w:val="0"/>
        <w:spacing w:before="0" w:after="0"/>
        <w:ind w:left="0" w:right="0" w:hanging="0"/>
        <w:jc w:val="left"/>
        <w:rPr>
          <w:sz w:val="20"/>
        </w:rPr>
      </w:pPr>
      <w:r>
        <w:rPr>
          <w:sz w:val="20"/>
        </w:rPr>
        <w:t>For any queries related to the AGM, please contact the Company Secretariat at cosec@wise.com</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tbl>
      <w:tblPr>
        <w:tblW w:w="4930" w:type="dxa"/>
        <w:jc w:val="left"/>
        <w:tblInd w:w="0" w:type="dxa"/>
        <w:tblLayout w:type="fixed"/>
        <w:tblCellMar>
          <w:top w:w="0" w:type="dxa"/>
          <w:left w:w="0" w:type="dxa"/>
          <w:bottom w:w="0" w:type="dxa"/>
          <w:right w:w="0" w:type="dxa"/>
        </w:tblCellMar>
      </w:tblPr>
      <w:tblGrid>
        <w:gridCol w:w="2510"/>
        <w:gridCol w:w="2420"/>
      </w:tblGrid>
      <w:tr>
        <w:trPr/>
        <w:tc>
          <w:tcPr>
            <w:tcW w:w="251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b/>
              </w:rPr>
            </w:pPr>
            <w:r>
              <w:rPr>
                <w:b/>
              </w:rPr>
              <w:t>WISE GROUP PLC</w:t>
            </w:r>
          </w:p>
        </w:tc>
      </w:tr>
      <w:tr>
        <w:trPr/>
        <w:tc>
          <w:tcPr>
            <w:tcW w:w="251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24, 2026</w:t>
            </w:r>
          </w:p>
        </w:tc>
        <w:tc>
          <w:tcPr>
            <w:tcW w:w="2420" w:type="dxa"/>
            <w:tcBorders/>
            <w:vAlign w:val="center"/>
          </w:tcPr>
          <w:p>
            <w:pPr>
              <w:pStyle w:val="TableContents"/>
              <w:pBdr>
                <w:bottom w:val="single" w:sz="6" w:space="1" w:color="000000"/>
              </w:pBdr>
              <w:bidi w:val="0"/>
              <w:spacing w:before="0" w:after="0"/>
              <w:ind w:left="0" w:right="0" w:hanging="0"/>
              <w:jc w:val="left"/>
              <w:rPr>
                <w:sz w:val="20"/>
              </w:rPr>
            </w:pPr>
            <w:r>
              <w:rPr>
                <w:sz w:val="20"/>
              </w:rPr>
              <w:t>By: /s/ Emmanuel Thomassin</w:t>
            </w:r>
          </w:p>
        </w:tc>
      </w:tr>
      <w:tr>
        <w:trPr/>
        <w:tc>
          <w:tcPr>
            <w:tcW w:w="251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ind w:left="0" w:right="0" w:hanging="0"/>
              <w:jc w:val="left"/>
              <w:rPr>
                <w:sz w:val="20"/>
              </w:rPr>
            </w:pPr>
            <w:r>
              <w:rPr>
                <w:sz w:val="20"/>
              </w:rPr>
              <w:t>Name: Emmanuel Thomassin</w:t>
            </w:r>
          </w:p>
          <w:p>
            <w:pPr>
              <w:pStyle w:val="TableContents"/>
              <w:bidi w:val="0"/>
              <w:spacing w:before="0" w:after="0"/>
              <w:ind w:left="0" w:right="0" w:hanging="0"/>
              <w:jc w:val="left"/>
              <w:rPr>
                <w:sz w:val="20"/>
              </w:rPr>
            </w:pPr>
            <w:r>
              <w:rPr>
                <w:sz w:val="20"/>
              </w:rPr>
              <w:t>Title: Chief Financial Officer</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3484</Characters>
  <CharactersWithSpaces>4042</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