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r>
        <w:rPr/>
      </w:r>
      <w:bookmarkStart w:id="0" w:name="a7209u.htm"/>
      <w:bookmarkStart w:id="1" w:name="ksa7209u"/>
      <w:bookmarkStart w:id="2" w:name="a7209u.htm"/>
      <w:bookmarkStart w:id="3" w:name="ksa7209u"/>
      <w:bookmarkEnd w:id="2"/>
      <w:bookmarkEnd w:id="3"/>
    </w:p>
    <w:tbl>
      <w:tblPr>
        <w:tblW w:w="90" w:type="dxa"/>
        <w:jc w:val="left"/>
        <w:tblInd w:w="0" w:type="dxa"/>
        <w:tblLayout w:type="fixed"/>
        <w:tblCellMar>
          <w:top w:w="28" w:type="dxa"/>
          <w:left w:w="0" w:type="dxa"/>
          <w:bottom w:w="28" w:type="dxa"/>
          <w:right w:w="0" w:type="dxa"/>
        </w:tblCellMar>
      </w:tblPr>
      <w:tblGrid>
        <w:gridCol w:w="90"/>
      </w:tblGrid>
      <w:tr>
        <w:trPr/>
        <w:tc>
          <w:tcPr>
            <w:tcW w:w="90" w:type="dxa"/>
            <w:tcBorders>
              <w:top w:val="single" w:sz="8" w:space="0" w:color="000000"/>
              <w:bottom w:val="single" w:sz="12" w:space="0" w:color="000000"/>
            </w:tcBorders>
            <w:vAlign w:val="center"/>
          </w:tcPr>
          <w:p>
            <w:pPr>
              <w:pStyle w:val="TableContents"/>
              <w:bidi w:val="0"/>
              <w:spacing w:before="0" w:after="0"/>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UNITED STATES</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jc w:val="left"/>
        <w:rPr/>
      </w:pPr>
      <w:r>
        <w:rPr/>
        <w:t> </w:t>
      </w:r>
    </w:p>
    <w:tbl>
      <w:tblPr>
        <w:tblW w:w="90" w:type="dxa"/>
        <w:jc w:val="center"/>
        <w:tblInd w:w="0" w:type="dxa"/>
        <w:tblLayout w:type="fixed"/>
        <w:tblCellMar>
          <w:top w:w="28" w:type="dxa"/>
          <w:left w:w="0" w:type="dxa"/>
          <w:bottom w:w="0" w:type="dxa"/>
          <w:right w:w="0" w:type="dxa"/>
        </w:tblCellMar>
      </w:tblPr>
      <w:tblGrid>
        <w:gridCol w:w="90"/>
      </w:tblGrid>
      <w:tr>
        <w:trPr/>
        <w:tc>
          <w:tcPr>
            <w:tcW w:w="90" w:type="dxa"/>
            <w:tcBorders>
              <w:top w:val="single" w:sz="8" w:space="0" w:color="000000"/>
            </w:tcBorders>
            <w:vAlign w:val="center"/>
          </w:tcPr>
          <w:p>
            <w:pPr>
              <w:pStyle w:val="TableContents"/>
              <w:bidi w:val="0"/>
              <w:spacing w:before="0" w:after="0"/>
              <w:jc w:val="left"/>
              <w:rPr/>
            </w:pPr>
            <w:r>
              <w:rPr/>
              <w:t> </w:t>
            </w:r>
          </w:p>
        </w:tc>
      </w:tr>
    </w:tbl>
    <w:p>
      <w:pPr>
        <w:pStyle w:val="TextBody"/>
        <w:bidi w:val="0"/>
        <w:spacing w:before="0" w:after="0"/>
        <w:ind w:left="0" w:right="0" w:hanging="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tbl>
      <w:tblPr>
        <w:tblW w:w="90" w:type="dxa"/>
        <w:jc w:val="center"/>
        <w:tblInd w:w="0" w:type="dxa"/>
        <w:tblLayout w:type="fixed"/>
        <w:tblCellMar>
          <w:top w:w="28" w:type="dxa"/>
          <w:left w:w="0" w:type="dxa"/>
          <w:bottom w:w="0" w:type="dxa"/>
          <w:right w:w="0" w:type="dxa"/>
        </w:tblCellMar>
      </w:tblPr>
      <w:tblGrid>
        <w:gridCol w:w="90"/>
      </w:tblGrid>
      <w:tr>
        <w:trPr/>
        <w:tc>
          <w:tcPr>
            <w:tcW w:w="90" w:type="dxa"/>
            <w:tcBorders>
              <w:top w:val="single" w:sz="8" w:space="0" w:color="000000"/>
            </w:tcBorders>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REPORT OF FOREIGN PRIVATE ISSUER</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PURSUANT TO RULE 13a-16 OR 15d-16</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UNDER THE SECURITIES EXCHANGE ACT OF 1934</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Date: 15 September 2026</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Commission File Number: 001-43229</w:t>
      </w:r>
    </w:p>
    <w:p>
      <w:pPr>
        <w:pStyle w:val="TextBody"/>
        <w:bidi w:val="0"/>
        <w:spacing w:before="0" w:after="0"/>
        <w:jc w:val="left"/>
        <w:rPr/>
      </w:pPr>
      <w:r>
        <w:rPr/>
        <w:t> </w:t>
      </w:r>
    </w:p>
    <w:tbl>
      <w:tblPr>
        <w:tblW w:w="90" w:type="dxa"/>
        <w:jc w:val="center"/>
        <w:tblInd w:w="0" w:type="dxa"/>
        <w:tblLayout w:type="fixed"/>
        <w:tblCellMar>
          <w:top w:w="28" w:type="dxa"/>
          <w:left w:w="0" w:type="dxa"/>
          <w:bottom w:w="0" w:type="dxa"/>
          <w:right w:w="0" w:type="dxa"/>
        </w:tblCellMar>
      </w:tblPr>
      <w:tblGrid>
        <w:gridCol w:w="90"/>
      </w:tblGrid>
      <w:tr>
        <w:trPr/>
        <w:tc>
          <w:tcPr>
            <w:tcW w:w="90" w:type="dxa"/>
            <w:tcBorders>
              <w:top w:val="single" w:sz="8" w:space="0" w:color="000000"/>
            </w:tcBorders>
            <w:vAlign w:val="center"/>
          </w:tcPr>
          <w:p>
            <w:pPr>
              <w:pStyle w:val="TableContents"/>
              <w:bidi w:val="0"/>
              <w:spacing w:before="0" w:after="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Wise Group plc</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(Translation of registrant’s name into English)</w:t>
      </w:r>
    </w:p>
    <w:p>
      <w:pPr>
        <w:pStyle w:val="TextBody"/>
        <w:bidi w:val="0"/>
        <w:spacing w:before="0" w:after="0"/>
        <w:jc w:val="left"/>
        <w:rPr/>
      </w:pPr>
      <w:r>
        <w:rPr/>
        <w:t> </w:t>
      </w:r>
    </w:p>
    <w:p>
      <w:pPr>
        <w:pStyle w:val="TextBody"/>
        <w:bidi w:val="0"/>
        <w:spacing w:before="0" w:after="0"/>
        <w:ind w:left="0" w:right="0" w:hanging="0"/>
        <w:jc w:val="both"/>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1st Floor, Worship Square</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65 Clifton Street</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London EC2A 4JE</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United Kingdom</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(Address of Principal Executive Office)</w:t>
      </w:r>
    </w:p>
    <w:p>
      <w:pPr>
        <w:pStyle w:val="TextBody"/>
        <w:bidi w:val="0"/>
        <w:spacing w:before="0" w:after="0"/>
        <w:jc w:val="left"/>
        <w:rPr/>
      </w:pPr>
      <w:r>
        <w:rPr/>
        <w:t> </w:t>
      </w:r>
    </w:p>
    <w:tbl>
      <w:tblPr>
        <w:tblW w:w="90" w:type="dxa"/>
        <w:jc w:val="center"/>
        <w:tblInd w:w="0" w:type="dxa"/>
        <w:tblLayout w:type="fixed"/>
        <w:tblCellMar>
          <w:top w:w="28" w:type="dxa"/>
          <w:left w:w="0" w:type="dxa"/>
          <w:bottom w:w="0" w:type="dxa"/>
          <w:right w:w="0" w:type="dxa"/>
        </w:tblCellMar>
      </w:tblPr>
      <w:tblGrid>
        <w:gridCol w:w="90"/>
      </w:tblGrid>
      <w:tr>
        <w:trPr/>
        <w:tc>
          <w:tcPr>
            <w:tcW w:w="90" w:type="dxa"/>
            <w:tcBorders>
              <w:top w:val="single" w:sz="8" w:space="0" w:color="000000"/>
            </w:tcBorders>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90" w:type="dxa"/>
        <w:jc w:val="left"/>
        <w:tblInd w:w="0" w:type="dxa"/>
        <w:tblLayout w:type="fixed"/>
        <w:tblCellMar>
          <w:top w:w="28" w:type="dxa"/>
          <w:left w:w="0" w:type="dxa"/>
          <w:bottom w:w="28" w:type="dxa"/>
          <w:right w:w="0" w:type="dxa"/>
        </w:tblCellMar>
      </w:tblPr>
      <w:tblGrid>
        <w:gridCol w:w="90"/>
      </w:tblGrid>
      <w:tr>
        <w:trPr/>
        <w:tc>
          <w:tcPr>
            <w:tcW w:w="90" w:type="dxa"/>
            <w:tcBorders>
              <w:top w:val="single" w:sz="8" w:space="0" w:color="000000"/>
              <w:bottom w:val="double" w:sz="8" w:space="0" w:color="000000"/>
            </w:tcBorders>
            <w:vAlign w:val="center"/>
          </w:tcPr>
          <w:p>
            <w:pPr>
              <w:pStyle w:val="TableContents"/>
              <w:bidi w:val="0"/>
              <w:spacing w:before="0" w:after="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EXHIBIT INDEX</w:t>
      </w:r>
    </w:p>
    <w:p>
      <w:pPr>
        <w:pStyle w:val="TextBody"/>
        <w:bidi w:val="0"/>
        <w:spacing w:before="0" w:after="0"/>
        <w:ind w:left="0" w:right="0" w:hanging="0"/>
        <w:jc w:val="both"/>
        <w:rPr/>
      </w:pPr>
      <w:r>
        <w:rPr/>
        <w:t> </w:t>
      </w:r>
    </w:p>
    <w:tbl>
      <w:tblPr>
        <w:tblW w:w="7820" w:type="dxa"/>
        <w:jc w:val="left"/>
        <w:tblInd w:w="0" w:type="dxa"/>
        <w:tblLayout w:type="fixed"/>
        <w:tblCellMar>
          <w:top w:w="0" w:type="dxa"/>
          <w:left w:w="0" w:type="dxa"/>
          <w:bottom w:w="0" w:type="dxa"/>
          <w:right w:w="0" w:type="dxa"/>
        </w:tblCellMar>
      </w:tblPr>
      <w:tblGrid>
        <w:gridCol w:w="995"/>
        <w:gridCol w:w="6825"/>
      </w:tblGrid>
      <w:tr>
        <w:trPr/>
        <w:tc>
          <w:tcPr>
            <w:tcW w:w="99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Exhibit No.</w:t>
            </w:r>
          </w:p>
          <w:p>
            <w:pPr>
              <w:pStyle w:val="TableContents"/>
              <w:bidi w:val="0"/>
              <w:spacing w:before="0" w:after="0"/>
              <w:ind w:left="0" w:right="270" w:hanging="0"/>
              <w:jc w:val="center"/>
              <w:rPr/>
            </w:pPr>
            <w:r>
              <w:rPr/>
              <w:t> </w:t>
            </w:r>
          </w:p>
        </w:tc>
        <w:tc>
          <w:tcPr>
            <w:tcW w:w="6825"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Description</w:t>
            </w:r>
          </w:p>
          <w:p>
            <w:pPr>
              <w:pStyle w:val="TableContents"/>
              <w:bidi w:val="0"/>
              <w:spacing w:before="0" w:after="0"/>
              <w:ind w:left="0" w:right="6750" w:hanging="0"/>
              <w:jc w:val="center"/>
              <w:rPr/>
            </w:pPr>
            <w:r>
              <w:rPr/>
              <w:t> </w:t>
            </w:r>
          </w:p>
        </w:tc>
      </w:tr>
      <w:tr>
        <w:trPr/>
        <w:tc>
          <w:tcPr>
            <w:tcW w:w="995" w:type="dxa"/>
            <w:tcBorders/>
            <w:vAlign w:val="center"/>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99.1</w:t>
            </w:r>
          </w:p>
          <w:p>
            <w:pPr>
              <w:pStyle w:val="TableContents"/>
              <w:bidi w:val="0"/>
              <w:spacing w:before="0" w:after="0"/>
              <w:ind w:left="0" w:right="0" w:hanging="0"/>
              <w:jc w:val="both"/>
              <w:rPr/>
            </w:pPr>
            <w:r>
              <w:rPr/>
              <w:t> </w:t>
            </w:r>
          </w:p>
        </w:tc>
        <w:tc>
          <w:tcPr>
            <w:tcW w:w="6825" w:type="dxa"/>
            <w:tcBorders/>
            <w:vAlign w:val="center"/>
          </w:tcPr>
          <w:p>
            <w:pPr>
              <w:pStyle w:val="TableContents"/>
              <w:bidi w:val="0"/>
              <w:spacing w:before="0" w:after="0"/>
              <w:ind w:left="0" w:right="0" w:hanging="0"/>
              <w:jc w:val="left"/>
              <w:rPr/>
            </w:pPr>
            <w:r>
              <w:rPr/>
              <w:t> </w:t>
            </w:r>
            <w:r>
              <w:rPr>
                <w:rFonts w:ascii="Times New Roman" w:hAnsi="Times New Roman"/>
                <w:sz w:val="20"/>
              </w:rPr>
              <w:t>Transaction in Own Shares dated 15 September 2026</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Exhibit 99.1</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r>
        <w:rPr>
          <w:rFonts w:ascii="Times New Roman" w:hAnsi="Times New Roman"/>
          <w:b/>
          <w:color w:val="000000"/>
          <w:sz w:val="20"/>
        </w:rPr>
        <w:t>Wise Group plc</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Transaction in Own Shares</w:t>
      </w:r>
    </w:p>
    <w:p>
      <w:pPr>
        <w:pStyle w:val="TextBody"/>
        <w:bidi w:val="0"/>
        <w:spacing w:before="0" w:after="0"/>
        <w:jc w:val="left"/>
        <w:rPr/>
      </w:pPr>
      <w:r>
        <w:rPr/>
        <w:t> </w:t>
      </w:r>
    </w:p>
    <w:p>
      <w:pPr>
        <w:pStyle w:val="TextBody"/>
        <w:bidi w:val="0"/>
        <w:spacing w:before="0" w:after="0"/>
        <w:ind w:left="0" w:right="0" w:hanging="0"/>
        <w:jc w:val="left"/>
        <w:rPr/>
      </w:pPr>
      <w:r>
        <w:rPr>
          <w:color w:val="000000"/>
        </w:rPr>
        <w:t> </w:t>
      </w: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Wise Group plc (the "Company") announces that from 07 September 2026 up to and including 11 September 2026 it repurchased a total of (i) 800,000 of its Class A ordinary shares on Nasdaq and/or other applicable US trading venues and (ii) 914,573 of its Class A ordinary shares on the London Stock Exchange and other in both cases through Goldman Sachs International or one of its affiliates, as detailed below.</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The repurchased Class A ordinary shares will be held in treasury.</w:t>
      </w:r>
    </w:p>
    <w:p>
      <w:pPr>
        <w:pStyle w:val="TextBody"/>
        <w:bidi w:val="0"/>
        <w:spacing w:before="0" w:after="0"/>
        <w:jc w:val="left"/>
        <w:rPr/>
      </w:pPr>
      <w:r>
        <w:rPr/>
        <w:t> </w:t>
      </w:r>
    </w:p>
    <w:tbl>
      <w:tblPr>
        <w:tblW w:w="10205" w:type="dxa"/>
        <w:jc w:val="left"/>
        <w:tblInd w:w="-5" w:type="dxa"/>
        <w:tblLayout w:type="fixed"/>
        <w:tblCellMar>
          <w:top w:w="28" w:type="dxa"/>
          <w:left w:w="28" w:type="dxa"/>
          <w:bottom w:w="28" w:type="dxa"/>
          <w:right w:w="0" w:type="dxa"/>
        </w:tblCellMar>
      </w:tblPr>
      <w:tblGrid>
        <w:gridCol w:w="770"/>
        <w:gridCol w:w="2876"/>
        <w:gridCol w:w="2380"/>
        <w:gridCol w:w="1568"/>
        <w:gridCol w:w="1545"/>
        <w:gridCol w:w="1066"/>
      </w:tblGrid>
      <w:tr>
        <w:trPr/>
        <w:tc>
          <w:tcPr>
            <w:tcW w:w="770" w:type="dxa"/>
            <w:tcBorders>
              <w:top w:val="single" w:sz="4" w:space="0" w:color="000000"/>
              <w:left w:val="single" w:sz="4" w:space="0" w:color="000000"/>
              <w:bottom w:val="single" w:sz="12" w:space="0" w:color="000000"/>
            </w:tcBorders>
            <w:shd w:fill="FFFFFF" w:val="cle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Date</w:t>
            </w:r>
          </w:p>
          <w:p>
            <w:pPr>
              <w:pStyle w:val="TableContents"/>
              <w:bidi w:val="0"/>
              <w:spacing w:before="0" w:after="0"/>
              <w:ind w:left="0" w:right="0" w:hanging="0"/>
              <w:jc w:val="both"/>
              <w:rPr/>
            </w:pPr>
            <w:r>
              <w:rPr/>
              <w:t> </w:t>
            </w:r>
          </w:p>
        </w:tc>
        <w:tc>
          <w:tcPr>
            <w:tcW w:w="2876" w:type="dxa"/>
            <w:tcBorders>
              <w:top w:val="single" w:sz="4" w:space="0" w:color="000000"/>
              <w:left w:val="single" w:sz="4" w:space="0" w:color="000000"/>
              <w:bottom w:val="single" w:sz="12" w:space="0" w:color="000000"/>
            </w:tcBorders>
            <w:shd w:fill="FFFFFF" w:val="cle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Aggregate number of Class A ordinary shares purchased</w:t>
            </w:r>
          </w:p>
          <w:p>
            <w:pPr>
              <w:pStyle w:val="TableContents"/>
              <w:bidi w:val="0"/>
              <w:spacing w:before="0" w:after="0"/>
              <w:ind w:left="0" w:right="0" w:hanging="0"/>
              <w:jc w:val="both"/>
              <w:rPr/>
            </w:pPr>
            <w:r>
              <w:rPr/>
              <w:t> </w:t>
            </w:r>
          </w:p>
        </w:tc>
        <w:tc>
          <w:tcPr>
            <w:tcW w:w="2380" w:type="dxa"/>
            <w:tcBorders>
              <w:top w:val="single" w:sz="4" w:space="0" w:color="000000"/>
              <w:left w:val="single" w:sz="4" w:space="0" w:color="000000"/>
              <w:bottom w:val="single" w:sz="12" w:space="0" w:color="000000"/>
            </w:tcBorders>
            <w:shd w:fill="FFFFFF" w:val="cle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Volume weighted average price paid per share</w:t>
            </w:r>
          </w:p>
          <w:p>
            <w:pPr>
              <w:pStyle w:val="TableContents"/>
              <w:bidi w:val="0"/>
              <w:spacing w:before="0" w:after="0"/>
              <w:ind w:left="0" w:right="0" w:hanging="0"/>
              <w:jc w:val="both"/>
              <w:rPr/>
            </w:pPr>
            <w:r>
              <w:rPr/>
              <w:t> </w:t>
            </w:r>
          </w:p>
        </w:tc>
        <w:tc>
          <w:tcPr>
            <w:tcW w:w="1568" w:type="dxa"/>
            <w:tcBorders>
              <w:top w:val="single" w:sz="4" w:space="0" w:color="000000"/>
              <w:left w:val="single" w:sz="4" w:space="0" w:color="000000"/>
              <w:bottom w:val="single" w:sz="12" w:space="0" w:color="000000"/>
            </w:tcBorders>
            <w:shd w:fill="FFFFFF" w:val="cle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Highest price paid per share</w:t>
            </w:r>
          </w:p>
          <w:p>
            <w:pPr>
              <w:pStyle w:val="TableContents"/>
              <w:bidi w:val="0"/>
              <w:spacing w:before="0" w:after="0"/>
              <w:ind w:left="0" w:right="0" w:hanging="0"/>
              <w:jc w:val="both"/>
              <w:rPr/>
            </w:pPr>
            <w:r>
              <w:rPr/>
              <w:t> </w:t>
            </w:r>
          </w:p>
        </w:tc>
        <w:tc>
          <w:tcPr>
            <w:tcW w:w="1545" w:type="dxa"/>
            <w:tcBorders>
              <w:top w:val="single" w:sz="4" w:space="0" w:color="000000"/>
              <w:left w:val="single" w:sz="4" w:space="0" w:color="000000"/>
              <w:bottom w:val="single" w:sz="12" w:space="0" w:color="000000"/>
            </w:tcBorders>
            <w:shd w:fill="FFFFFF" w:val="cle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Lowest price paid per share</w:t>
            </w:r>
          </w:p>
          <w:p>
            <w:pPr>
              <w:pStyle w:val="TableContents"/>
              <w:bidi w:val="0"/>
              <w:spacing w:before="0" w:after="0"/>
              <w:ind w:left="0" w:right="0" w:hanging="0"/>
              <w:jc w:val="both"/>
              <w:rPr/>
            </w:pPr>
            <w:r>
              <w:rPr/>
              <w:t> </w:t>
            </w:r>
          </w:p>
        </w:tc>
        <w:tc>
          <w:tcPr>
            <w:tcW w:w="1066" w:type="dxa"/>
            <w:tcBorders>
              <w:top w:val="single" w:sz="4" w:space="0" w:color="000000"/>
              <w:left w:val="single" w:sz="4" w:space="0" w:color="000000"/>
              <w:bottom w:val="single" w:sz="12" w:space="0" w:color="000000"/>
              <w:right w:val="single" w:sz="4" w:space="0" w:color="000000"/>
            </w:tcBorders>
            <w:shd w:fill="FFFFFF" w:val="clear"/>
            <w:tcMar>
              <w:right w:w="28" w:type="dxa"/>
            </w:tcM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Trading venue</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2026-09-07</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67,093</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9.3764</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9.4420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9.2840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2026-09-07</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46,314</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9.3917</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9.4400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9.2900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2026-09-07</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21,036</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9.3897</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9.4380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9.2900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BATE</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2026-09-08</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172,195</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9.2913</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9.3620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9.1980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2026-09-08</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200,000</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12.5658</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12.6950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12.3950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2026-09-09</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171,005</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9.2110</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9.3400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9.0900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2026-09-09</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49,962</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9.2128</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9.3400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9.0960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2026-09-09</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200,000</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12.4889</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12.6800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12.4000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2026-09-10</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166,872</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8.9500</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9.0800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8.8360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2026-09-10</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53,593</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8.9457</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9.0800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8.8340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BATE</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2026-09-10</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200,000</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12.0213</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12.1700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11.8600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2026-09-11</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116,503</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8.8579</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8.9180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8.7860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2026-09-11</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50,000</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8.8609</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8.9140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8.7960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2026-09-11</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200,000</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12.0297</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12.0950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11.9500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p>
            <w:pPr>
              <w:pStyle w:val="TableContents"/>
              <w:bidi w:val="0"/>
              <w:spacing w:before="0" w:after="0"/>
              <w:ind w:left="0" w:right="0" w:hanging="0"/>
              <w:jc w:val="both"/>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The repurchases form part of the Company's share buyback program announced on July 21, 2026 (the "Buyback"). In connection with the Buyback, the Company expects to repurchase up to £405 million (approximately $540 million) of its Class A ordinary shares.</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In accordance with Article 5(1)(b) of Regulation (EU) No 596/2014 (the Market Abuse Regulation) and Commission Delegated Regulation (EU) 2016/1052 as such legislation forms part of law in the United Kingdom (the "UK") by virtue of the EU (Withdrawal) Act 2018 (as may be amended, extended and/or supplemented from time to time), a detailed breakdown of individual trades made by Goldman Sachs International on behalf of the Company as part of the Buyback is scheduled to this announcement. This announcement is also being made for the purposes of the UK Financial Conduct Authority's Listing Rule 14.3.17(2).</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http://www.rns-pdf.londonstockexchange.com/rns/7149U_1-2026-9-14.pdf</w:t>
      </w:r>
    </w:p>
    <w:p>
      <w:pPr>
        <w:pStyle w:val="TextBody"/>
        <w:bidi w:val="0"/>
        <w:spacing w:before="0" w:after="0"/>
        <w:ind w:left="0" w:right="0" w:hanging="0"/>
        <w:jc w:val="left"/>
        <w:rPr>
          <w:color w:val="000000"/>
        </w:rPr>
      </w:pPr>
      <w:r>
        <w:rPr>
          <w:color w:val="000000"/>
        </w:rPr>
        <w:t>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Enquiries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Martin Adams - Investor Relations</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owners@wise.com</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Sana Rahman - Communications</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press@wise.com</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Brunswick Group</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Charles Pretzlik / Emily Murphy</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Wise@brunswickgroup.com</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+44 (0) 20 7404 5959</w:t>
      </w:r>
    </w:p>
    <w:p>
      <w:pPr>
        <w:pStyle w:val="TextBody"/>
        <w:bidi w:val="0"/>
        <w:spacing w:before="0" w:after="0"/>
        <w:jc w:val="left"/>
        <w:rPr/>
      </w:pPr>
      <w:r>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About Wise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Wise is a global technology company, building the best way to move and manage the world's money.</w:t>
      </w:r>
    </w:p>
    <w:p>
      <w:pPr>
        <w:pStyle w:val="TextBody"/>
        <w:bidi w:val="0"/>
        <w:spacing w:before="0" w:after="0"/>
        <w:ind w:left="0" w:right="0" w:hanging="0"/>
        <w:jc w:val="left"/>
        <w:rPr>
          <w:color w:val="000000"/>
        </w:rPr>
      </w:pPr>
      <w:r>
        <w:rPr>
          <w:color w:val="000000"/>
        </w:rPr>
        <w:t>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With Wise Account and Wise Business, people and businesses can hold 40+ currencies, move money between countries and spend money abroad. Large companies and banks use Wise technology too; an entirely new network for the world's money.</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In fiscal year 2026, Wise supported around 19 million people and businesses, processing over $240 billion in cross-border transactions and saving customers over $3 billion.</w:t>
      </w:r>
    </w:p>
    <w:p>
      <w:pPr>
        <w:pStyle w:val="TextBody"/>
        <w:bidi w:val="0"/>
        <w:spacing w:before="0" w:after="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SIGNATURE</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995" w:type="dxa"/>
        <w:jc w:val="left"/>
        <w:tblInd w:w="0" w:type="dxa"/>
        <w:tblLayout w:type="fixed"/>
        <w:tblCellMar>
          <w:top w:w="0" w:type="dxa"/>
          <w:left w:w="0" w:type="dxa"/>
          <w:bottom w:w="0" w:type="dxa"/>
          <w:right w:w="0" w:type="dxa"/>
        </w:tblCellMar>
      </w:tblPr>
      <w:tblGrid>
        <w:gridCol w:w="2135"/>
        <w:gridCol w:w="60"/>
        <w:gridCol w:w="60"/>
        <w:gridCol w:w="60"/>
        <w:gridCol w:w="545"/>
        <w:gridCol w:w="60"/>
        <w:gridCol w:w="2075"/>
      </w:tblGrid>
      <w:tr>
        <w:trPr/>
        <w:tc>
          <w:tcPr>
            <w:tcW w:w="2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r>
      <w:tr>
        <w:trPr/>
        <w:tc>
          <w:tcPr>
            <w:tcW w:w="2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680" w:type="dxa"/>
            <w:gridSpan w:val="3"/>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WISE GROUP PLC</w:t>
            </w:r>
          </w:p>
        </w:tc>
      </w:tr>
      <w:tr>
        <w:trPr/>
        <w:tc>
          <w:tcPr>
            <w:tcW w:w="2135" w:type="dxa"/>
            <w:tcBorders/>
            <w:vAlign w:val="center"/>
          </w:tcPr>
          <w:p>
            <w:pPr>
              <w:pStyle w:val="TableContents"/>
              <w:bidi w:val="0"/>
              <w:spacing w:before="0" w:after="0"/>
              <w:jc w:val="left"/>
              <w:rPr/>
            </w:pPr>
            <w:r>
              <w:rPr/>
              <w:t> </w:t>
            </w:r>
          </w:p>
        </w:tc>
        <w:tc>
          <w:tcPr>
            <w:tcW w:w="120" w:type="dxa"/>
            <w:gridSpan w:val="2"/>
            <w:tcBorders/>
            <w:vAlign w:val="center"/>
          </w:tcPr>
          <w:p>
            <w:pPr>
              <w:pStyle w:val="TableContents"/>
              <w:bidi w:val="0"/>
              <w:spacing w:before="0" w:after="0"/>
              <w:jc w:val="left"/>
              <w:rPr/>
            </w:pPr>
            <w:r>
              <w:rPr/>
              <w:t> </w:t>
            </w:r>
          </w:p>
        </w:tc>
        <w:tc>
          <w:tcPr>
            <w:tcW w:w="605" w:type="dxa"/>
            <w:gridSpan w:val="2"/>
            <w:tcBorders/>
            <w:vAlign w:val="center"/>
          </w:tcPr>
          <w:p>
            <w:pPr>
              <w:pStyle w:val="TableContents"/>
              <w:bidi w:val="0"/>
              <w:spacing w:before="0" w:after="0"/>
              <w:jc w:val="left"/>
              <w:rPr/>
            </w:pPr>
            <w:r>
              <w:rPr/>
              <w:t> </w:t>
            </w:r>
          </w:p>
        </w:tc>
        <w:tc>
          <w:tcPr>
            <w:tcW w:w="2135" w:type="dxa"/>
            <w:gridSpan w:val="2"/>
            <w:tcBorders/>
            <w:vAlign w:val="center"/>
          </w:tcPr>
          <w:p>
            <w:pPr>
              <w:pStyle w:val="TableContents"/>
              <w:bidi w:val="0"/>
              <w:spacing w:before="0" w:after="0"/>
              <w:jc w:val="left"/>
              <w:rPr/>
            </w:pPr>
            <w:r>
              <w:rPr/>
              <w:t> </w:t>
            </w:r>
          </w:p>
        </w:tc>
      </w:tr>
      <w:tr>
        <w:trPr/>
        <w:tc>
          <w:tcPr>
            <w:tcW w:w="213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15 September, 2026</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2075"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Emmanuel Thomassin</w:t>
            </w:r>
          </w:p>
        </w:tc>
      </w:tr>
      <w:tr>
        <w:trPr/>
        <w:tc>
          <w:tcPr>
            <w:tcW w:w="2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Emmanuel Thomassin</w:t>
            </w:r>
          </w:p>
        </w:tc>
      </w:tr>
      <w:tr>
        <w:trPr/>
        <w:tc>
          <w:tcPr>
            <w:tcW w:w="2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640</Words>
  <Characters>3503</Characters>
  <CharactersWithSpaces>4206</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