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450d6k.htm"/>
      <w:bookmarkStart w:id="1" w:name="ksd4045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001-43229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Wise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1st Floor, Worship Square </w:t>
      </w:r>
    </w:p>
    <w:p>
      <w:pPr>
        <w:pStyle w:val="TextBody"/>
        <w:bidi w:val="0"/>
        <w:spacing w:before="0" w:after="0"/>
        <w:jc w:val="center"/>
        <w:rPr>
          <w:rFonts w:ascii="Times New Roman" w:hAnsi="Times New Roman"/>
          <w:b/>
          <w:sz w:val="20"/>
        </w:rPr>
      </w:pPr>
      <w:r>
        <w:rPr>
          <w:rFonts w:ascii="Times New Roman" w:hAnsi="Times New Roman"/>
          <w:b/>
          <w:sz w:val="20"/>
        </w:rPr>
        <w:t xml:space="preserve">65 Clifton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EC2A 4JE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Wise Group plc (the “Company”) issued a press release announcing its financial results for the quarter ended June 30, 2026. A copy of the press release is furnished as Exhibit 99.1 to this Report of Foreign Private Issuer on Form 6-K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1"/>
        <w:gridCol w:w="709"/>
        <w:gridCol w:w="8635"/>
      </w:tblGrid>
      <w:tr>
        <w:trPr/>
        <w:tc>
          <w:tcPr>
            <w:tcW w:w="861"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9" w:type="dxa"/>
            <w:tcBorders/>
            <w:vAlign w:val="bottom"/>
          </w:tcPr>
          <w:p>
            <w:pPr>
              <w:pStyle w:val="TableContents"/>
              <w:bidi w:val="0"/>
              <w:spacing w:before="0" w:after="283"/>
              <w:jc w:val="left"/>
              <w:rPr/>
            </w:pPr>
            <w:r>
              <w:rPr/>
              <w:t>  </w:t>
            </w:r>
          </w:p>
        </w:tc>
        <w:tc>
          <w:tcPr>
            <w:tcW w:w="86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99.1</w:t>
            </w:r>
          </w:p>
        </w:tc>
        <w:tc>
          <w:tcPr>
            <w:tcW w:w="709" w:type="dxa"/>
            <w:tcBorders/>
            <w:vAlign w:val="bottom"/>
          </w:tcPr>
          <w:p>
            <w:pPr>
              <w:pStyle w:val="TableContents"/>
              <w:bidi w:val="0"/>
              <w:spacing w:before="0" w:after="283"/>
              <w:jc w:val="left"/>
              <w:rPr/>
            </w:pPr>
            <w:r>
              <w:rPr/>
              <w:t>  </w:t>
            </w:r>
          </w:p>
        </w:tc>
        <w:tc>
          <w:tcPr>
            <w:tcW w:w="8635" w:type="dxa"/>
            <w:tcBorders/>
          </w:tcPr>
          <w:p>
            <w:pPr>
              <w:pStyle w:val="TableContents"/>
              <w:bidi w:val="0"/>
              <w:spacing w:before="0" w:after="283"/>
              <w:jc w:val="left"/>
              <w:rPr/>
            </w:pPr>
            <w:hyperlink w:anchor="d40450dex991.htm">
              <w:r>
                <w:rPr>
                  <w:rStyle w:val="InternetLink"/>
                </w:rPr>
                <w:t xml:space="preserve">Press release issued by Wise Group plc, dated July 16, 2026, titled “Wise Group plc reports Q1 FY27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3"/>
        <w:gridCol w:w="102"/>
        <w:gridCol w:w="406"/>
        <w:gridCol w:w="102"/>
        <w:gridCol w:w="312"/>
        <w:gridCol w:w="102"/>
        <w:gridCol w:w="4598"/>
      </w:tblGrid>
      <w:tr>
        <w:trPr/>
        <w:tc>
          <w:tcPr>
            <w:tcW w:w="458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2" w:type="dxa"/>
            <w:gridSpan w:val="3"/>
            <w:tcBorders/>
          </w:tcPr>
          <w:p>
            <w:pPr>
              <w:pStyle w:val="TableContents"/>
              <w:bidi w:val="0"/>
              <w:spacing w:before="0" w:after="283"/>
              <w:jc w:val="left"/>
              <w:rPr>
                <w:b/>
              </w:rPr>
            </w:pPr>
            <w:r>
              <w:rPr>
                <w:b/>
              </w:rPr>
              <w:t>WISE GROUP PLC</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tcPr>
          <w:p>
            <w:pPr>
              <w:pStyle w:val="TableContents"/>
              <w:bidi w:val="0"/>
              <w:spacing w:before="0" w:after="283"/>
              <w:jc w:val="left"/>
              <w:rPr/>
            </w:pPr>
            <w:r>
              <w:rPr/>
              <w:t>Date: July 16, 2026</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Kristo Käärmann</w:t>
            </w:r>
          </w:p>
        </w:tc>
      </w:tr>
      <w:tr>
        <w:trPr/>
        <w:tc>
          <w:tcPr>
            <w:tcW w:w="458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Kristo Käärmann</w:t>
            </w:r>
          </w:p>
          <w:p>
            <w:pPr>
              <w:pStyle w:val="TableContents"/>
              <w:bidi w:val="0"/>
              <w:spacing w:before="0" w:after="2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2" w:name="d40450dex991.htm"/>
      <w:bookmarkStart w:id="3" w:name="ksd4045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764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July 16, 2026 </w:t>
      </w:r>
    </w:p>
    <w:p>
      <w:pPr>
        <w:pStyle w:val="TextBody"/>
        <w:bidi w:val="0"/>
        <w:spacing w:before="240" w:after="0"/>
        <w:jc w:val="center"/>
        <w:rPr>
          <w:rFonts w:ascii="Times New Roman" w:hAnsi="Times New Roman"/>
          <w:b/>
          <w:sz w:val="20"/>
        </w:rPr>
      </w:pPr>
      <w:r>
        <w:rPr>
          <w:rFonts w:ascii="Times New Roman" w:hAnsi="Times New Roman"/>
          <w:b/>
          <w:sz w:val="20"/>
        </w:rPr>
        <w:t xml:space="preserve">Wise Group plc reports Q1 FY27 Results </w:t>
      </w:r>
    </w:p>
    <w:p>
      <w:pPr>
        <w:pStyle w:val="TextBody"/>
        <w:bidi w:val="0"/>
        <w:spacing w:before="240" w:after="0"/>
        <w:jc w:val="left"/>
        <w:rPr>
          <w:rFonts w:ascii="Times New Roman" w:hAnsi="Times New Roman"/>
          <w:sz w:val="20"/>
        </w:rPr>
      </w:pPr>
      <w:r>
        <w:rPr>
          <w:rFonts w:ascii="Times New Roman" w:hAnsi="Times New Roman"/>
          <w:b/>
          <w:sz w:val="20"/>
        </w:rPr>
        <w:t>New York, NY, July</w:t>
      </w:r>
      <w:r>
        <w:rPr>
          <w:rFonts w:ascii="Times New Roman" w:hAnsi="Times New Roman"/>
          <w:sz w:val="20"/>
        </w:rPr>
        <w:t> </w:t>
      </w:r>
      <w:r>
        <w:rPr>
          <w:rFonts w:ascii="Times New Roman" w:hAnsi="Times New Roman"/>
          <w:b/>
          <w:sz w:val="20"/>
        </w:rPr>
        <w:t xml:space="preserve">16, 2026 </w:t>
      </w:r>
      <w:r>
        <w:rPr>
          <w:rFonts w:ascii="Times New Roman" w:hAnsi="Times New Roman"/>
          <w:sz w:val="20"/>
        </w:rPr>
        <w:t xml:space="preserve">- Wise Group plc (Nasdaq: WSE; LSE: WISE), the global technology company building the best way to move and manage the world’s money, today announces its Q1 FY27 results for the quarter ending June 30,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2"/>
        <w:gridCol w:w="318"/>
        <w:gridCol w:w="77"/>
        <w:gridCol w:w="878"/>
        <w:gridCol w:w="275"/>
        <w:gridCol w:w="228"/>
        <w:gridCol w:w="91"/>
        <w:gridCol w:w="865"/>
        <w:gridCol w:w="275"/>
        <w:gridCol w:w="228"/>
        <w:gridCol w:w="135"/>
        <w:gridCol w:w="1532"/>
        <w:gridCol w:w="278"/>
      </w:tblGrid>
      <w:tr>
        <w:trPr/>
        <w:tc>
          <w:tcPr>
            <w:tcW w:w="3392"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FY27</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FY26</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YoY Movement</w:t>
            </w:r>
          </w:p>
        </w:tc>
        <w:tc>
          <w:tcPr>
            <w:tcW w:w="278"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Active customers (millions)</w:t>
            </w:r>
          </w:p>
        </w:tc>
        <w:tc>
          <w:tcPr>
            <w:tcW w:w="31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11,863</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9,797</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21</w:t>
            </w:r>
          </w:p>
        </w:tc>
        <w:tc>
          <w:tcPr>
            <w:tcW w:w="278"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Cross-border volume ($ billion)</w:t>
            </w:r>
          </w:p>
        </w:tc>
        <w:tc>
          <w:tcPr>
            <w:tcW w:w="31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69.3</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55.0</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26</w:t>
            </w:r>
          </w:p>
        </w:tc>
        <w:tc>
          <w:tcPr>
            <w:tcW w:w="278"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holdings ($ billion)</w:t>
            </w:r>
          </w:p>
        </w:tc>
        <w:tc>
          <w:tcPr>
            <w:tcW w:w="31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41.2</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31.5</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31</w:t>
            </w:r>
          </w:p>
        </w:tc>
        <w:tc>
          <w:tcPr>
            <w:tcW w:w="278"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Net revenue ($ million)</w:t>
            </w:r>
          </w:p>
        </w:tc>
        <w:tc>
          <w:tcPr>
            <w:tcW w:w="31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714.0</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573.3</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25</w:t>
            </w:r>
          </w:p>
        </w:tc>
        <w:tc>
          <w:tcPr>
            <w:tcW w:w="278"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Cross-border take rate (%)</w:t>
            </w:r>
          </w:p>
        </w:tc>
        <w:tc>
          <w:tcPr>
            <w:tcW w:w="31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0.52</w:t>
            </w:r>
          </w:p>
        </w:tc>
        <w:tc>
          <w:tcPr>
            <w:tcW w:w="27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 pps</w:t>
            </w:r>
          </w:p>
        </w:tc>
        <w:tc>
          <w:tcPr>
            <w:tcW w:w="278"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Instant transfers (%)</w:t>
            </w:r>
          </w:p>
        </w:tc>
        <w:tc>
          <w:tcPr>
            <w:tcW w:w="31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77</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70</w:t>
            </w:r>
          </w:p>
        </w:tc>
        <w:tc>
          <w:tcPr>
            <w:tcW w:w="27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+7 pps</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Q1 FY27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cross-border volume grew 26% YoY to $69.3 billion (24% growth YoY on a constant currency basis*) with active customers up 21% YoY to 11.9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holdings increased 31% YoY to $41.2 billion as more customers use and trust Wise for more of their daily financial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Cross-border take rate reduced 2bps YoY to 50bps, as we created capacity within the business to proactively invest part of our operating leverage to further strengthen our competitive advantage of lower prices for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revenue increased 27% YoY to $540.9 million and net revenue increased 25% YoY to $714.0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Re-iterating our FY27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 growth around the middle of our 15-20% medium-term target range on a constant currency basis, assuming no material change in interest paid to customers, and no material changes in central bank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before tax margin around the top of the 20-25% range.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Kristo Käärmann, Co-founder and Chief Executive Officer, commented: </w:t>
      </w:r>
    </w:p>
    <w:p>
      <w:pPr>
        <w:pStyle w:val="TextBody"/>
        <w:bidi w:val="0"/>
        <w:spacing w:before="240" w:after="0"/>
        <w:jc w:val="left"/>
        <w:rPr/>
      </w:pPr>
      <w:r>
        <w:rPr/>
        <w:t>“</w:t>
      </w:r>
      <w:r>
        <w:rPr>
          <w:rFonts w:ascii="Times New Roman" w:hAnsi="Times New Roman"/>
          <w:i/>
          <w:sz w:val="20"/>
        </w:rPr>
        <w:t xml:space="preserve">This quarter almost 12 million people and businesses used Wise to move $69.3 billion across the world. These customers paid an average fee of just 50bps—the lowest it has ever been on Wise. In 77% of the transactions, their money arrived instantly on the other side of the world. More customers are trusting Wise for their everyday money—their holdings grew 31% to $41.2 billion. </w:t>
      </w:r>
    </w:p>
    <w:p>
      <w:pPr>
        <w:pStyle w:val="TextBody"/>
        <w:bidi w:val="0"/>
        <w:spacing w:before="240" w:after="0"/>
        <w:jc w:val="left"/>
        <w:rPr/>
      </w:pPr>
      <w:r>
        <w:rPr/>
        <w:t>“</w:t>
      </w:r>
      <w:r>
        <w:rPr>
          <w:rFonts w:ascii="Times New Roman" w:hAnsi="Times New Roman"/>
          <w:i/>
          <w:sz w:val="20"/>
        </w:rPr>
        <w:t xml:space="preserve">We recently expanded our product offering in Latin America, so that Chileans can now send money cheap and fast cross-borders and top up their multi-currency accounts with local, instant pay-ins. </w:t>
      </w:r>
    </w:p>
    <w:p>
      <w:pPr>
        <w:pStyle w:val="TextBody"/>
        <w:bidi w:val="0"/>
        <w:spacing w:before="240" w:after="0"/>
        <w:jc w:val="left"/>
        <w:rPr/>
      </w:pPr>
      <w:r>
        <w:rPr/>
        <w:t>“</w:t>
      </w:r>
      <w:r>
        <w:rPr>
          <w:rFonts w:ascii="Times New Roman" w:hAnsi="Times New Roman"/>
          <w:i/>
          <w:sz w:val="20"/>
        </w:rPr>
        <w:t xml:space="preserve">We continue building ‘the’ network for the world’s money.”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764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Earnings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Wise will host an earnings call today, July 16, 2026 at 4:30 p.m. Eastern Time to discuss the company’s performance and expectations. Listeners may access the live call via webcast at </w:t>
      </w:r>
      <w:r>
        <w:rPr>
          <w:rFonts w:ascii="Times New Roman" w:hAnsi="Times New Roman"/>
          <w:sz w:val="20"/>
          <w:u w:val="single"/>
        </w:rPr>
        <w:t>http://owners.wise.com</w:t>
      </w:r>
      <w:r>
        <w:rPr>
          <w:rFonts w:ascii="Times New Roman" w:hAnsi="Times New Roman"/>
          <w:sz w:val="20"/>
        </w:rPr>
        <w:t xml:space="preserve">, where listeners can also access Wise’s earnings press release and slide presentation. Following the call, a webcast will also be made available at the same website for at least 30 days. </w:t>
      </w:r>
    </w:p>
    <w:p>
      <w:pPr>
        <w:pStyle w:val="TextBody"/>
        <w:bidi w:val="0"/>
        <w:spacing w:before="240" w:after="0"/>
        <w:jc w:val="left"/>
        <w:rPr>
          <w:rFonts w:ascii="Times New Roman" w:hAnsi="Times New Roman"/>
          <w:b/>
          <w:sz w:val="20"/>
        </w:rPr>
      </w:pPr>
      <w:r>
        <w:rPr>
          <w:rFonts w:ascii="Times New Roman" w:hAnsi="Times New Roman"/>
          <w:b/>
          <w:sz w:val="20"/>
        </w:rPr>
        <w:t xml:space="preserve">Enquiries </w:t>
      </w:r>
    </w:p>
    <w:p>
      <w:pPr>
        <w:pStyle w:val="TextBody"/>
        <w:bidi w:val="0"/>
        <w:spacing w:before="240" w:after="0"/>
        <w:jc w:val="left"/>
        <w:rPr>
          <w:rFonts w:ascii="Times New Roman" w:hAnsi="Times New Roman"/>
          <w:sz w:val="20"/>
        </w:rPr>
      </w:pPr>
      <w:r>
        <w:rPr>
          <w:rFonts w:ascii="Times New Roman" w:hAnsi="Times New Roman"/>
          <w:sz w:val="20"/>
        </w:rPr>
        <w:t xml:space="preserve">Martin Adams -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owners@wise.com </w:t>
      </w:r>
    </w:p>
    <w:p>
      <w:pPr>
        <w:pStyle w:val="TextBody"/>
        <w:bidi w:val="0"/>
        <w:spacing w:before="240" w:after="0"/>
        <w:jc w:val="left"/>
        <w:rPr>
          <w:rFonts w:ascii="Times New Roman" w:hAnsi="Times New Roman"/>
          <w:sz w:val="20"/>
        </w:rPr>
      </w:pPr>
      <w:r>
        <w:rPr>
          <w:rFonts w:ascii="Times New Roman" w:hAnsi="Times New Roman"/>
          <w:sz w:val="20"/>
        </w:rPr>
        <w:t xml:space="preserve">Sana Rahman -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press@wise.com </w:t>
      </w:r>
    </w:p>
    <w:p>
      <w:pPr>
        <w:pStyle w:val="TextBody"/>
        <w:bidi w:val="0"/>
        <w:spacing w:before="240" w:after="0"/>
        <w:jc w:val="left"/>
        <w:rPr>
          <w:rFonts w:ascii="Times New Roman" w:hAnsi="Times New Roman"/>
          <w:sz w:val="20"/>
        </w:rPr>
      </w:pPr>
      <w:r>
        <w:rPr>
          <w:rFonts w:ascii="Times New Roman" w:hAnsi="Times New Roman"/>
          <w:sz w:val="20"/>
        </w:rPr>
        <w:t xml:space="preserve">Brunswick Group </w:t>
      </w:r>
    </w:p>
    <w:p>
      <w:pPr>
        <w:pStyle w:val="TextBody"/>
        <w:bidi w:val="0"/>
        <w:spacing w:before="0" w:after="0"/>
        <w:jc w:val="left"/>
        <w:rPr>
          <w:rFonts w:ascii="Times New Roman" w:hAnsi="Times New Roman"/>
          <w:sz w:val="20"/>
        </w:rPr>
      </w:pPr>
      <w:r>
        <w:rPr>
          <w:rFonts w:ascii="Times New Roman" w:hAnsi="Times New Roman"/>
          <w:sz w:val="20"/>
        </w:rPr>
        <w:t xml:space="preserve">Charles Pretzlik / Emily Murphy </w:t>
      </w:r>
    </w:p>
    <w:p>
      <w:pPr>
        <w:pStyle w:val="TextBody"/>
        <w:bidi w:val="0"/>
        <w:spacing w:before="0" w:after="0"/>
        <w:jc w:val="left"/>
        <w:rPr>
          <w:rFonts w:ascii="Times New Roman" w:hAnsi="Times New Roman"/>
          <w:sz w:val="20"/>
        </w:rPr>
      </w:pPr>
      <w:r>
        <w:rPr>
          <w:rFonts w:ascii="Times New Roman" w:hAnsi="Times New Roman"/>
          <w:sz w:val="20"/>
        </w:rPr>
        <w:t xml:space="preserve">Wise@brunswickgroup.com </w:t>
      </w:r>
    </w:p>
    <w:p>
      <w:pPr>
        <w:pStyle w:val="TextBody"/>
        <w:bidi w:val="0"/>
        <w:spacing w:before="0" w:after="0"/>
        <w:jc w:val="left"/>
        <w:rPr>
          <w:rFonts w:ascii="Times New Roman" w:hAnsi="Times New Roman"/>
          <w:sz w:val="20"/>
        </w:rPr>
      </w:pPr>
      <w:r>
        <w:rPr>
          <w:rFonts w:ascii="Times New Roman" w:hAnsi="Times New Roman"/>
          <w:sz w:val="20"/>
        </w:rPr>
        <w:t xml:space="preserve">+44 (0) 20 7404 5959 </w:t>
      </w:r>
    </w:p>
    <w:p>
      <w:pPr>
        <w:pStyle w:val="TextBody"/>
        <w:bidi w:val="0"/>
        <w:spacing w:before="360" w:after="0"/>
        <w:jc w:val="left"/>
        <w:rPr>
          <w:rFonts w:ascii="Times New Roman" w:hAnsi="Times New Roman"/>
          <w:b/>
          <w:sz w:val="20"/>
        </w:rPr>
      </w:pPr>
      <w:r>
        <w:rPr>
          <w:rFonts w:ascii="Times New Roman" w:hAnsi="Times New Roman"/>
          <w:b/>
          <w:sz w:val="20"/>
        </w:rPr>
        <w:t xml:space="preserve">About Wise </w:t>
      </w:r>
    </w:p>
    <w:p>
      <w:pPr>
        <w:pStyle w:val="TextBody"/>
        <w:bidi w:val="0"/>
        <w:spacing w:before="120" w:after="0"/>
        <w:jc w:val="left"/>
        <w:rPr>
          <w:rFonts w:ascii="Times New Roman" w:hAnsi="Times New Roman"/>
          <w:sz w:val="20"/>
        </w:rPr>
      </w:pPr>
      <w:r>
        <w:rPr>
          <w:rFonts w:ascii="Times New Roman" w:hAnsi="Times New Roman"/>
          <w:sz w:val="20"/>
        </w:rPr>
        <w:t xml:space="preserve">Wise is a global technology company, building the best way to move and manage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With Wise Account and Wise Business, people and businesses can hold 40+ currencies, move money between countries and spend money abroad. Large companies and banks use Wise technology too; an entirely new network for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In fiscal year 2026, Wise supported around 19 million people and businesses, processing over $240 billion in cross-border transactions and saving customers over $3 billion. </w:t>
      </w:r>
    </w:p>
    <w:p>
      <w:pPr>
        <w:pStyle w:val="TextBody"/>
        <w:bidi w:val="0"/>
        <w:spacing w:before="360" w:after="0"/>
        <w:jc w:val="left"/>
        <w:rPr>
          <w:rFonts w:ascii="Times New Roman" w:hAnsi="Times New Roman"/>
          <w:sz w:val="20"/>
        </w:rPr>
      </w:pPr>
      <w:r>
        <w:rPr>
          <w:rFonts w:ascii="Times New Roman" w:hAnsi="Times New Roman"/>
          <w:sz w:val="20"/>
        </w:rPr>
        <w:t xml:space="preserve">FORWARD LOOKING DISCLOSURE 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report may include forward-looking statements, which are based on current expectations and projections about future events. These statements may include, without limitation, any statements preceded by, followed by or including words such as “forward looking”, “guidance”, “target”, “believe”, “expect”, “intend”, “may”, “anticipate”, “estimate”, “forecast” , “project”, “will”, “can have”, “likely”, “should”, “would”, “could” and any other words and terms of similar meaning or the negative thereof. These forward-looking statements are subject to risks, uncertainties and assumptions about Wise and its subsidiaries. In light of these risks, uncertainties and assumptions, the events in the forward-looking statements may not occur. </w:t>
      </w:r>
    </w:p>
    <w:p>
      <w:pPr>
        <w:pStyle w:val="TextBody"/>
        <w:bidi w:val="0"/>
        <w:spacing w:before="240" w:after="0"/>
        <w:jc w:val="left"/>
        <w:rPr>
          <w:rFonts w:ascii="Times New Roman" w:hAnsi="Times New Roman"/>
          <w:sz w:val="20"/>
        </w:rPr>
      </w:pPr>
      <w:r>
        <w:rPr>
          <w:rFonts w:ascii="Times New Roman" w:hAnsi="Times New Roman"/>
          <w:sz w:val="20"/>
        </w:rPr>
        <w:t xml:space="preserve">Past performance cannot be relied upon as a guide to future performance and should not be taken as a representation that trends or activities underlying past performance will continue in the future, and the statements in this report speak only as at the date of this report. No representation or warranty is made or will be made that any forward-looking statement will come to pass and there can be no assurance that actual results will not differ materially from those expressed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764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76400"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Wise expressly disclaims any obligation or undertaking to update, review or revise any forward-looking statements contained in this report and disclaims any obligation to update its view of any risks or uncertainties described herein or to publicly announce the results of any revisions to the forward-looking statements made in this report, whether as a result of new information, future developments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7640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76400"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Historical quarterly financials </w:t>
      </w:r>
    </w:p>
    <w:p>
      <w:pPr>
        <w:pStyle w:val="TextBody"/>
        <w:bidi w:val="0"/>
        <w:spacing w:before="0" w:after="0"/>
        <w:jc w:val="left"/>
        <w:rPr/>
      </w:pPr>
      <w:r>
        <w:rPr/>
        <w:t> </w:t>
      </w:r>
    </w:p>
    <w:tbl>
      <w:tblPr>
        <w:tblW w:w="12490" w:type="dxa"/>
        <w:jc w:val="center"/>
        <w:tblInd w:w="0" w:type="dxa"/>
        <w:tblLayout w:type="fixed"/>
        <w:tblCellMar>
          <w:top w:w="0" w:type="dxa"/>
          <w:left w:w="0" w:type="dxa"/>
          <w:bottom w:w="0" w:type="dxa"/>
          <w:right w:w="0" w:type="dxa"/>
        </w:tblCellMar>
      </w:tblPr>
      <w:tblGrid>
        <w:gridCol w:w="980"/>
        <w:gridCol w:w="60"/>
        <w:gridCol w:w="80"/>
        <w:gridCol w:w="750"/>
        <w:gridCol w:w="60"/>
        <w:gridCol w:w="60"/>
        <w:gridCol w:w="80"/>
        <w:gridCol w:w="750"/>
        <w:gridCol w:w="60"/>
        <w:gridCol w:w="60"/>
        <w:gridCol w:w="80"/>
        <w:gridCol w:w="750"/>
        <w:gridCol w:w="60"/>
        <w:gridCol w:w="60"/>
        <w:gridCol w:w="80"/>
        <w:gridCol w:w="750"/>
        <w:gridCol w:w="60"/>
        <w:gridCol w:w="60"/>
        <w:gridCol w:w="80"/>
        <w:gridCol w:w="750"/>
        <w:gridCol w:w="60"/>
        <w:gridCol w:w="60"/>
        <w:gridCol w:w="67"/>
        <w:gridCol w:w="763"/>
        <w:gridCol w:w="60"/>
        <w:gridCol w:w="60"/>
        <w:gridCol w:w="67"/>
        <w:gridCol w:w="763"/>
        <w:gridCol w:w="60"/>
        <w:gridCol w:w="60"/>
        <w:gridCol w:w="67"/>
        <w:gridCol w:w="763"/>
        <w:gridCol w:w="60"/>
        <w:gridCol w:w="60"/>
        <w:gridCol w:w="67"/>
        <w:gridCol w:w="763"/>
        <w:gridCol w:w="60"/>
        <w:gridCol w:w="60"/>
        <w:gridCol w:w="206"/>
        <w:gridCol w:w="894"/>
        <w:gridCol w:w="320"/>
        <w:gridCol w:w="60"/>
        <w:gridCol w:w="206"/>
        <w:gridCol w:w="894"/>
        <w:gridCol w:w="32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Quarterly</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Q2</w:t>
            </w:r>
            <w:r>
              <w:rPr/>
              <w:br/>
            </w:r>
            <w:r>
              <w:rPr>
                <w:b/>
              </w:rPr>
              <w:t>FY2025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Q3</w:t>
            </w:r>
            <w:r>
              <w:rPr/>
              <w:br/>
            </w:r>
            <w:r>
              <w:rPr>
                <w:b/>
              </w:rPr>
              <w:t>FY2025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Q4</w:t>
            </w:r>
            <w:r>
              <w:rPr/>
              <w:br/>
            </w:r>
            <w:r>
              <w:rPr>
                <w:b/>
              </w:rPr>
              <w:t>FY2025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Q2</w:t>
            </w:r>
            <w:r>
              <w:rPr/>
              <w:br/>
            </w:r>
            <w:r>
              <w:rPr>
                <w:b/>
              </w:rPr>
              <w:t>FY2026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Q3</w:t>
            </w:r>
            <w:r>
              <w:rPr/>
              <w:br/>
            </w:r>
            <w:r>
              <w:rPr>
                <w:b/>
              </w:rPr>
              <w:t>FY2026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Q4</w:t>
            </w:r>
            <w:r>
              <w:rPr/>
              <w:br/>
            </w:r>
            <w:r>
              <w:rPr>
                <w:b/>
              </w:rPr>
              <w:t>FY2026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QoQ</w:t>
            </w:r>
            <w:r>
              <w:rPr/>
              <w:br/>
            </w:r>
            <w:r>
              <w:rPr>
                <w:b/>
              </w:rPr>
              <w:t>Movement</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Q YoY</w:t>
            </w:r>
            <w:r>
              <w:rPr/>
              <w:br/>
            </w:r>
            <w:r>
              <w:rPr>
                <w:b/>
              </w:rPr>
              <w:t>Movement</w:t>
            </w:r>
          </w:p>
        </w:tc>
        <w:tc>
          <w:tcPr>
            <w:tcW w:w="32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Active Customers (thousand)¹</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8,374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8,892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9,047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9,290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9,797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10,440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10,896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11,290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11,863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5</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21</w:t>
            </w:r>
          </w:p>
        </w:tc>
        <w:tc>
          <w:tcPr>
            <w:tcW w:w="320" w:type="dxa"/>
            <w:tcBorders/>
            <w:shd w:fill="CCEEFF" w:val="clear"/>
            <w:vAlign w:val="bottom"/>
          </w:tcPr>
          <w:p>
            <w:pPr>
              <w:pStyle w:val="TableContents"/>
              <w:bidi w:val="0"/>
              <w:spacing w:before="0" w:after="283"/>
              <w:jc w:val="left"/>
              <w:rPr>
                <w:b/>
              </w:rPr>
            </w:pPr>
            <w:r>
              <w:rPr>
                <w:b/>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Personal (thousand)</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7,962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8,469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8,612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9,936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10,354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10,718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11,256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21</w:t>
            </w:r>
          </w:p>
        </w:tc>
        <w:tc>
          <w:tcPr>
            <w:tcW w:w="32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Business (thousand)</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28</w:t>
            </w:r>
          </w:p>
        </w:tc>
        <w:tc>
          <w:tcPr>
            <w:tcW w:w="32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Cross-border volume ($ billion)²</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59.0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66.5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69.3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26</w:t>
            </w:r>
          </w:p>
        </w:tc>
        <w:tc>
          <w:tcPr>
            <w:tcW w:w="320" w:type="dxa"/>
            <w:tcBorders/>
            <w:vAlign w:val="bottom"/>
          </w:tcPr>
          <w:p>
            <w:pPr>
              <w:pStyle w:val="TableContents"/>
              <w:bidi w:val="0"/>
              <w:spacing w:before="0" w:after="283"/>
              <w:jc w:val="left"/>
              <w:rPr>
                <w:b/>
              </w:rPr>
            </w:pPr>
            <w:r>
              <w:rPr>
                <w:b/>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Personal ($ billion)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w:t>
            </w:r>
          </w:p>
        </w:tc>
        <w:tc>
          <w:tcPr>
            <w:tcW w:w="32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Business ($ billion)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39</w:t>
            </w:r>
          </w:p>
        </w:tc>
        <w:tc>
          <w:tcPr>
            <w:tcW w:w="32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Customer balances ($ billion)³</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26.4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24</w:t>
            </w:r>
          </w:p>
        </w:tc>
        <w:tc>
          <w:tcPr>
            <w:tcW w:w="320" w:type="dxa"/>
            <w:tcBorders/>
            <w:shd w:fill="CCEEFF" w:val="clear"/>
            <w:vAlign w:val="bottom"/>
          </w:tcPr>
          <w:p>
            <w:pPr>
              <w:pStyle w:val="TableContents"/>
              <w:bidi w:val="0"/>
              <w:spacing w:before="0" w:after="283"/>
              <w:jc w:val="left"/>
              <w:rPr>
                <w:b/>
              </w:rPr>
            </w:pPr>
            <w:r>
              <w:rPr>
                <w:b/>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Personal ($ billion)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25</w:t>
            </w:r>
          </w:p>
        </w:tc>
        <w:tc>
          <w:tcPr>
            <w:tcW w:w="32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Business ($ billion)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24</w:t>
            </w:r>
          </w:p>
        </w:tc>
        <w:tc>
          <w:tcPr>
            <w:tcW w:w="32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Assets under custody ($ billion)⁴</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b/>
              </w:rPr>
            </w:pPr>
            <w:r>
              <w:rPr>
                <w:b/>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13</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55</w:t>
            </w:r>
          </w:p>
        </w:tc>
        <w:tc>
          <w:tcPr>
            <w:tcW w:w="320" w:type="dxa"/>
            <w:tcBorders/>
            <w:vAlign w:val="bottom"/>
          </w:tcPr>
          <w:p>
            <w:pPr>
              <w:pStyle w:val="TableContents"/>
              <w:bidi w:val="0"/>
              <w:spacing w:before="0" w:after="283"/>
              <w:jc w:val="left"/>
              <w:rPr>
                <w:b/>
              </w:rPr>
            </w:pPr>
            <w:r>
              <w:rPr>
                <w:b/>
              </w:rPr>
              <w:t>% </w:t>
            </w:r>
          </w:p>
        </w:tc>
      </w:tr>
      <w:tr>
        <w:trPr/>
        <w:tc>
          <w:tcPr>
            <w:tcW w:w="98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Customer holdings ($ billion)⁵</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b/>
              </w:rPr>
            </w:pPr>
            <w:r>
              <w:rPr>
                <w:b/>
              </w:rPr>
              <w:t>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31</w:t>
            </w:r>
          </w:p>
        </w:tc>
        <w:tc>
          <w:tcPr>
            <w:tcW w:w="320"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Unaudited numbers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present cross-border volume on a constant currency basis to facilitate comparison of underlying growth trends without the effects of exchange rate fluctuations. To calculate cross-border volume on a constant currency basis, we translate volume for the current period using the average monthly exchange rates from the comparable prior period for operations with functional currencies other than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Differences between ‘total’ rows and the sum of the constituent components of personal and business are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¹</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number of unique customers who have completed at least one cross-border transaction in the given period.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²</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Cross-border volume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³</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balances do not include Assets Under Custody which are not recognised on Wise’s balance sheet.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⁴</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under custody represent customer deposits held via Wise Assets.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⁵</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holdings is the sum of customer balances held directly and those held via Wise Assets (which are not recognised on Wise’s balance sheet).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7640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76400"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Historical quarterly financials </w:t>
      </w:r>
    </w:p>
    <w:p>
      <w:pPr>
        <w:pStyle w:val="TextBody"/>
        <w:bidi w:val="0"/>
        <w:spacing w:before="0" w:after="0"/>
        <w:jc w:val="left"/>
        <w:rPr/>
      </w:pPr>
      <w:r>
        <w:rPr/>
        <w:t> </w:t>
      </w:r>
    </w:p>
    <w:tbl>
      <w:tblPr>
        <w:tblW w:w="17620" w:type="dxa"/>
        <w:jc w:val="center"/>
        <w:tblInd w:w="0" w:type="dxa"/>
        <w:tblLayout w:type="fixed"/>
        <w:tblCellMar>
          <w:top w:w="0" w:type="dxa"/>
          <w:left w:w="0" w:type="dxa"/>
          <w:bottom w:w="0" w:type="dxa"/>
          <w:right w:w="0" w:type="dxa"/>
        </w:tblCellMar>
      </w:tblPr>
      <w:tblGrid>
        <w:gridCol w:w="3530"/>
        <w:gridCol w:w="60"/>
        <w:gridCol w:w="80"/>
        <w:gridCol w:w="750"/>
        <w:gridCol w:w="320"/>
        <w:gridCol w:w="60"/>
        <w:gridCol w:w="80"/>
        <w:gridCol w:w="750"/>
        <w:gridCol w:w="320"/>
        <w:gridCol w:w="60"/>
        <w:gridCol w:w="80"/>
        <w:gridCol w:w="750"/>
        <w:gridCol w:w="320"/>
        <w:gridCol w:w="60"/>
        <w:gridCol w:w="80"/>
        <w:gridCol w:w="750"/>
        <w:gridCol w:w="320"/>
        <w:gridCol w:w="60"/>
        <w:gridCol w:w="80"/>
        <w:gridCol w:w="750"/>
        <w:gridCol w:w="320"/>
        <w:gridCol w:w="60"/>
        <w:gridCol w:w="80"/>
        <w:gridCol w:w="750"/>
        <w:gridCol w:w="320"/>
        <w:gridCol w:w="60"/>
        <w:gridCol w:w="80"/>
        <w:gridCol w:w="750"/>
        <w:gridCol w:w="320"/>
        <w:gridCol w:w="60"/>
        <w:gridCol w:w="80"/>
        <w:gridCol w:w="750"/>
        <w:gridCol w:w="320"/>
        <w:gridCol w:w="60"/>
        <w:gridCol w:w="80"/>
        <w:gridCol w:w="750"/>
        <w:gridCol w:w="320"/>
        <w:gridCol w:w="60"/>
        <w:gridCol w:w="114"/>
        <w:gridCol w:w="986"/>
        <w:gridCol w:w="440"/>
        <w:gridCol w:w="60"/>
        <w:gridCol w:w="114"/>
        <w:gridCol w:w="986"/>
        <w:gridCol w:w="440"/>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Quarterly</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Q2</w:t>
            </w:r>
            <w:r>
              <w:rPr/>
              <w:br/>
            </w:r>
            <w:r>
              <w:rPr>
                <w:b/>
              </w:rPr>
              <w:t>FY2025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Q3</w:t>
            </w:r>
            <w:r>
              <w:rPr/>
              <w:br/>
            </w:r>
            <w:r>
              <w:rPr>
                <w:b/>
              </w:rPr>
              <w:t>FY2025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Q4</w:t>
            </w:r>
            <w:r>
              <w:rPr/>
              <w:br/>
            </w:r>
            <w:r>
              <w:rPr>
                <w:b/>
              </w:rPr>
              <w:t>FY2025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Q2</w:t>
            </w:r>
            <w:r>
              <w:rPr/>
              <w:br/>
            </w:r>
            <w:r>
              <w:rPr>
                <w:b/>
              </w:rPr>
              <w:t>FY2026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Q3</w:t>
            </w:r>
            <w:r>
              <w:rPr/>
              <w:br/>
            </w:r>
            <w:r>
              <w:rPr>
                <w:b/>
              </w:rPr>
              <w:t>FY2026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Q4</w:t>
            </w:r>
            <w:r>
              <w:rPr/>
              <w:br/>
            </w:r>
            <w:r>
              <w:rPr>
                <w:b/>
              </w:rPr>
              <w:t>FY2026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Q1</w:t>
            </w:r>
            <w:r>
              <w:rPr/>
              <w:br/>
            </w:r>
            <w:r>
              <w:rPr>
                <w:b/>
              </w:rPr>
              <w:t>FY2027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QoQ</w:t>
            </w:r>
            <w:r>
              <w:rPr/>
              <w:br/>
            </w:r>
            <w:r>
              <w:rPr>
                <w:b/>
              </w:rPr>
              <w:t>Movement</w:t>
            </w:r>
          </w:p>
        </w:tc>
        <w:tc>
          <w:tcPr>
            <w:tcW w:w="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Q YoY</w:t>
            </w:r>
            <w:r>
              <w:rPr/>
              <w:br/>
            </w:r>
            <w:r>
              <w:rPr>
                <w:b/>
              </w:rPr>
              <w:t>Movement</w:t>
            </w:r>
          </w:p>
        </w:tc>
        <w:tc>
          <w:tcPr>
            <w:tcW w:w="44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Cross-border revenue ($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266.4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270.2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272.6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262.5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286.8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305.0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326.5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338.7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349.8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3</w:t>
            </w:r>
          </w:p>
        </w:tc>
        <w:tc>
          <w:tcPr>
            <w:tcW w:w="44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22</w:t>
            </w:r>
          </w:p>
        </w:tc>
        <w:tc>
          <w:tcPr>
            <w:tcW w:w="440" w:type="dxa"/>
            <w:tcBorders/>
            <w:shd w:fill="CCEEFF" w:val="clear"/>
            <w:vAlign w:val="bottom"/>
          </w:tcPr>
          <w:p>
            <w:pPr>
              <w:pStyle w:val="TableContents"/>
              <w:bidi w:val="0"/>
              <w:spacing w:before="0" w:after="283"/>
              <w:jc w:val="left"/>
              <w:rPr>
                <w:b/>
              </w:rPr>
            </w:pPr>
            <w:r>
              <w:rPr>
                <w:b/>
              </w:rPr>
              <w:t>% </w:t>
            </w:r>
          </w:p>
        </w:tc>
      </w:tr>
      <w:tr>
        <w:trPr/>
        <w:tc>
          <w:tcPr>
            <w:tcW w:w="353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Card and other revenue ($ million)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101.1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120.9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125.4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127.2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138.0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153.4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169.7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175.5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191.1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9</w:t>
            </w:r>
          </w:p>
        </w:tc>
        <w:tc>
          <w:tcPr>
            <w:tcW w:w="44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38</w:t>
            </w:r>
          </w:p>
        </w:tc>
        <w:tc>
          <w:tcPr>
            <w:tcW w:w="440" w:type="dxa"/>
            <w:tcBorders/>
            <w:vAlign w:val="bottom"/>
          </w:tcPr>
          <w:p>
            <w:pPr>
              <w:pStyle w:val="TableContents"/>
              <w:bidi w:val="0"/>
              <w:spacing w:before="0" w:after="283"/>
              <w:jc w:val="left"/>
              <w:rPr>
                <w:b/>
              </w:rPr>
            </w:pPr>
            <w:r>
              <w:rPr>
                <w:b/>
              </w:rPr>
              <w:t>% </w:t>
            </w:r>
          </w:p>
        </w:tc>
      </w:tr>
      <w:tr>
        <w:trPr/>
        <w:tc>
          <w:tcPr>
            <w:tcW w:w="353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Interest income on customer balances ($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187.3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198.1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190.6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182.3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196.5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202.5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204.5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202.6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225.4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11</w:t>
            </w:r>
          </w:p>
        </w:tc>
        <w:tc>
          <w:tcPr>
            <w:tcW w:w="44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15</w:t>
            </w:r>
          </w:p>
        </w:tc>
        <w:tc>
          <w:tcPr>
            <w:tcW w:w="440" w:type="dxa"/>
            <w:tcBorders/>
            <w:shd w:fill="CCEEFF" w:val="clear"/>
            <w:vAlign w:val="bottom"/>
          </w:tcPr>
          <w:p>
            <w:pPr>
              <w:pStyle w:val="TableContents"/>
              <w:bidi w:val="0"/>
              <w:spacing w:before="0" w:after="283"/>
              <w:jc w:val="left"/>
              <w:rPr>
                <w:b/>
              </w:rPr>
            </w:pPr>
            <w:r>
              <w:rPr>
                <w:b/>
              </w:rPr>
              <w:t>% </w:t>
            </w:r>
          </w:p>
        </w:tc>
      </w:tr>
      <w:tr>
        <w:trPr/>
        <w:tc>
          <w:tcPr>
            <w:tcW w:w="353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Interest expense on customer liabilities ($ million)</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(52.1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(56.6</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(49.0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(48.0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(48.0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(50.4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(49.5</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(49.0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(52.3</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7</w:t>
            </w:r>
          </w:p>
        </w:tc>
        <w:tc>
          <w:tcPr>
            <w:tcW w:w="44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9</w:t>
            </w:r>
          </w:p>
        </w:tc>
        <w:tc>
          <w:tcPr>
            <w:tcW w:w="440" w:type="dxa"/>
            <w:tcBorders/>
            <w:vAlign w:val="bottom"/>
          </w:tcPr>
          <w:p>
            <w:pPr>
              <w:pStyle w:val="TableContents"/>
              <w:bidi w:val="0"/>
              <w:spacing w:before="0" w:after="283"/>
              <w:jc w:val="left"/>
              <w:rPr>
                <w:b/>
              </w:rPr>
            </w:pPr>
            <w:r>
              <w:rPr>
                <w:b/>
              </w:rPr>
              <w:t>% </w:t>
            </w:r>
          </w:p>
        </w:tc>
      </w:tr>
      <w:tr>
        <w:trPr/>
        <w:tc>
          <w:tcPr>
            <w:tcW w:w="353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revenue ($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502.7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532.6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539.6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524.0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573.3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610.5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651.2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667.8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714.0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7</w:t>
            </w:r>
          </w:p>
        </w:tc>
        <w:tc>
          <w:tcPr>
            <w:tcW w:w="44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b/>
              </w:rPr>
            </w:pPr>
            <w:r>
              <w:rPr>
                <w:b/>
              </w:rPr>
              <w:t>25</w:t>
            </w:r>
          </w:p>
        </w:tc>
        <w:tc>
          <w:tcPr>
            <w:tcW w:w="440" w:type="dxa"/>
            <w:tcBorders/>
            <w:shd w:fill="CCEEFF" w:val="clear"/>
            <w:vAlign w:val="bottom"/>
          </w:tcPr>
          <w:p>
            <w:pPr>
              <w:pStyle w:val="TableContents"/>
              <w:bidi w:val="0"/>
              <w:spacing w:before="0" w:after="283"/>
              <w:jc w:val="left"/>
              <w:rPr>
                <w:b/>
              </w:rPr>
            </w:pPr>
            <w:r>
              <w:rPr>
                <w:b/>
              </w:rPr>
              <w:t>% </w:t>
            </w:r>
          </w:p>
        </w:tc>
      </w:tr>
      <w:tr>
        <w:trPr/>
        <w:tc>
          <w:tcPr>
            <w:tcW w:w="353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Cross-border take rate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0.64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0.59</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0.56</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0.53</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0.52</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0.52</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0.52</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0.50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-1.0 </w:t>
            </w:r>
          </w:p>
        </w:tc>
        <w:tc>
          <w:tcPr>
            <w:tcW w:w="440" w:type="dxa"/>
            <w:tcBorders/>
            <w:vAlign w:val="bottom"/>
          </w:tcPr>
          <w:p>
            <w:pPr>
              <w:pStyle w:val="TableContents"/>
              <w:bidi w:val="0"/>
              <w:spacing w:before="0" w:after="283"/>
              <w:jc w:val="left"/>
              <w:rPr>
                <w:b/>
              </w:rPr>
            </w:pPr>
            <w:r>
              <w:rPr>
                <w:b/>
              </w:rPr>
              <w:t>bps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-2.0 </w:t>
            </w:r>
          </w:p>
        </w:tc>
        <w:tc>
          <w:tcPr>
            <w:tcW w:w="440" w:type="dxa"/>
            <w:tcBorders/>
            <w:vAlign w:val="bottom"/>
          </w:tcPr>
          <w:p>
            <w:pPr>
              <w:pStyle w:val="TableContents"/>
              <w:bidi w:val="0"/>
              <w:spacing w:before="0" w:after="283"/>
              <w:jc w:val="left"/>
              <w:rPr>
                <w:b/>
              </w:rPr>
            </w:pPr>
            <w:r>
              <w:rPr>
                <w:b/>
              </w:rPr>
              <w:t>bps </w:t>
            </w:r>
          </w:p>
        </w:tc>
      </w:tr>
      <w:tr>
        <w:trPr/>
        <w:tc>
          <w:tcPr>
            <w:tcW w:w="35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Personal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0.68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0.64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0.62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0.56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+0.0 </w:t>
            </w:r>
          </w:p>
        </w:tc>
        <w:tc>
          <w:tcPr>
            <w:tcW w:w="440" w:type="dxa"/>
            <w:tcBorders/>
            <w:shd w:fill="CCEEFF" w:val="clear"/>
            <w:vAlign w:val="bottom"/>
          </w:tcPr>
          <w:p>
            <w:pPr>
              <w:pStyle w:val="TableContents"/>
              <w:bidi w:val="0"/>
              <w:spacing w:before="0" w:after="283"/>
              <w:jc w:val="left"/>
              <w:rPr/>
            </w:pPr>
            <w:r>
              <w:rPr/>
              <w:t>bps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-1.0 </w:t>
            </w:r>
          </w:p>
        </w:tc>
        <w:tc>
          <w:tcPr>
            <w:tcW w:w="440" w:type="dxa"/>
            <w:tcBorders/>
            <w:shd w:fill="CCEEFF" w:val="clear"/>
            <w:vAlign w:val="bottom"/>
          </w:tcPr>
          <w:p>
            <w:pPr>
              <w:pStyle w:val="TableContents"/>
              <w:bidi w:val="0"/>
              <w:spacing w:before="0" w:after="283"/>
              <w:jc w:val="left"/>
              <w:rPr/>
            </w:pPr>
            <w:r>
              <w:rPr/>
              <w:t>bps </w:t>
            </w:r>
          </w:p>
        </w:tc>
      </w:tr>
      <w:tr>
        <w:trPr/>
        <w:tc>
          <w:tcPr>
            <w:tcW w:w="3530" w:type="dxa"/>
            <w:tcBorders/>
          </w:tcPr>
          <w:p>
            <w:pPr>
              <w:pStyle w:val="TableContents"/>
              <w:bidi w:val="0"/>
              <w:spacing w:before="0" w:after="0"/>
              <w:jc w:val="left"/>
              <w:rPr>
                <w:rFonts w:ascii="Times New Roman" w:hAnsi="Times New Roman"/>
                <w:sz w:val="16"/>
              </w:rPr>
            </w:pPr>
            <w:r>
              <w:rPr>
                <w:rFonts w:ascii="Times New Roman" w:hAnsi="Times New Roman"/>
                <w:sz w:val="16"/>
              </w:rPr>
              <w:t>Business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0.51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0.45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0.42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0.40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0.39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0.39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0.40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0.39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0.39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+0.0 </w:t>
            </w:r>
          </w:p>
        </w:tc>
        <w:tc>
          <w:tcPr>
            <w:tcW w:w="440" w:type="dxa"/>
            <w:tcBorders/>
            <w:vAlign w:val="bottom"/>
          </w:tcPr>
          <w:p>
            <w:pPr>
              <w:pStyle w:val="TableContents"/>
              <w:bidi w:val="0"/>
              <w:spacing w:before="0" w:after="283"/>
              <w:jc w:val="left"/>
              <w:rPr/>
            </w:pPr>
            <w:r>
              <w:rPr/>
              <w:t>bps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+0.0 </w:t>
            </w:r>
          </w:p>
        </w:tc>
        <w:tc>
          <w:tcPr>
            <w:tcW w:w="440" w:type="dxa"/>
            <w:tcBorders/>
            <w:vAlign w:val="bottom"/>
          </w:tcPr>
          <w:p>
            <w:pPr>
              <w:pStyle w:val="TableContents"/>
              <w:bidi w:val="0"/>
              <w:spacing w:before="0" w:after="283"/>
              <w:jc w:val="left"/>
              <w:rPr/>
            </w:pPr>
            <w:r>
              <w:rPr/>
              <w:t>bps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Unaudited numbers </w:t>
      </w:r>
    </w:p>
    <w:p>
      <w:pPr>
        <w:pStyle w:val="TextBody"/>
        <w:bidi w:val="0"/>
        <w:spacing w:before="240" w:after="0"/>
        <w:jc w:val="left"/>
        <w:rPr>
          <w:rFonts w:ascii="Times New Roman" w:hAnsi="Times New Roman"/>
          <w:sz w:val="20"/>
        </w:rPr>
      </w:pPr>
      <w:r>
        <w:rPr>
          <w:rFonts w:ascii="Times New Roman" w:hAnsi="Times New Roman"/>
          <w:sz w:val="20"/>
        </w:rPr>
        <w:t xml:space="preserve">Differences between ‘total’ rows and the sum of the constituent components of personal and business are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1712</Words>
  <Characters>8472</Characters>
  <CharactersWithSpaces>10613</CharactersWithSpaces>
  <Paragraphs>1178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