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1426d6k.htm"/>
      <w:bookmarkStart w:id="1" w:name="ksd13142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001-43229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Wise Group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1st Floor, Worship Square </w:t>
      </w:r>
    </w:p>
    <w:p>
      <w:pPr>
        <w:pStyle w:val="TextBody"/>
        <w:bidi w:val="0"/>
        <w:spacing w:before="0" w:after="0"/>
        <w:jc w:val="center"/>
        <w:rPr>
          <w:rFonts w:ascii="Times New Roman" w:hAnsi="Times New Roman"/>
          <w:b/>
          <w:sz w:val="20"/>
        </w:rPr>
      </w:pPr>
      <w:r>
        <w:rPr>
          <w:rFonts w:ascii="Times New Roman" w:hAnsi="Times New Roman"/>
          <w:b/>
          <w:sz w:val="20"/>
        </w:rPr>
        <w:t xml:space="preserve">65 Clifton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London EC2A 4JE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12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3"/>
        <w:gridCol w:w="677"/>
        <w:gridCol w:w="8665"/>
      </w:tblGrid>
      <w:tr>
        <w:trPr/>
        <w:tc>
          <w:tcPr>
            <w:tcW w:w="863" w:type="dxa"/>
            <w:tcBorders/>
            <w:vAlign w:val="center"/>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8665" w:type="dxa"/>
            <w:tcBorders/>
            <w:vAlign w:val="center"/>
          </w:tcPr>
          <w:p>
            <w:pPr>
              <w:pStyle w:val="TableContents"/>
              <w:bidi w:val="0"/>
              <w:spacing w:before="0" w:after="283"/>
              <w:jc w:val="left"/>
              <w:rPr>
                <w:sz w:val="4"/>
                <w:szCs w:val="4"/>
              </w:rPr>
            </w:pPr>
            <w:r>
              <w:rPr>
                <w:sz w:val="4"/>
                <w:szCs w:val="4"/>
              </w:rPr>
            </w:r>
          </w:p>
        </w:tc>
      </w:tr>
      <w:tr>
        <w:trPr/>
        <w:tc>
          <w:tcPr>
            <w:tcW w:w="86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77" w:type="dxa"/>
            <w:tcBorders/>
            <w:vAlign w:val="bottom"/>
          </w:tcPr>
          <w:p>
            <w:pPr>
              <w:pStyle w:val="TableContents"/>
              <w:bidi w:val="0"/>
              <w:spacing w:before="0" w:after="283"/>
              <w:jc w:val="left"/>
              <w:rPr/>
            </w:pPr>
            <w:r>
              <w:rPr/>
              <w:t>  </w:t>
            </w:r>
          </w:p>
        </w:tc>
        <w:tc>
          <w:tcPr>
            <w:tcW w:w="86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99.1</w:t>
            </w:r>
          </w:p>
        </w:tc>
        <w:tc>
          <w:tcPr>
            <w:tcW w:w="677" w:type="dxa"/>
            <w:tcBorders/>
            <w:vAlign w:val="bottom"/>
          </w:tcPr>
          <w:p>
            <w:pPr>
              <w:pStyle w:val="TableContents"/>
              <w:bidi w:val="0"/>
              <w:spacing w:before="0" w:after="283"/>
              <w:jc w:val="left"/>
              <w:rPr/>
            </w:pPr>
            <w:r>
              <w:rPr/>
              <w:t>  </w:t>
            </w:r>
          </w:p>
        </w:tc>
        <w:tc>
          <w:tcPr>
            <w:tcW w:w="8665" w:type="dxa"/>
            <w:tcBorders/>
          </w:tcPr>
          <w:p>
            <w:pPr>
              <w:pStyle w:val="TableContents"/>
              <w:bidi w:val="0"/>
              <w:spacing w:before="0" w:after="283"/>
              <w:jc w:val="left"/>
              <w:rPr/>
            </w:pPr>
            <w:hyperlink w:anchor="d131426dex991.htm">
              <w:r>
                <w:rPr>
                  <w:rStyle w:val="InternetLink"/>
                </w:rPr>
                <w:t xml:space="preserve">RNS Announcement dated July 28, 2026 </w:t>
              </w:r>
            </w:hyperlink>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vAlign w:val="bottom"/>
          </w:tcPr>
          <w:p>
            <w:pPr>
              <w:pStyle w:val="TableContents"/>
              <w:bidi w:val="0"/>
              <w:spacing w:before="0" w:after="283"/>
              <w:jc w:val="left"/>
              <w:rPr/>
            </w:pPr>
            <w:r>
              <w:rPr/>
              <w:t>99.2</w:t>
            </w:r>
          </w:p>
        </w:tc>
        <w:tc>
          <w:tcPr>
            <w:tcW w:w="677" w:type="dxa"/>
            <w:tcBorders/>
            <w:vAlign w:val="bottom"/>
          </w:tcPr>
          <w:p>
            <w:pPr>
              <w:pStyle w:val="TableContents"/>
              <w:bidi w:val="0"/>
              <w:spacing w:before="0" w:after="283"/>
              <w:jc w:val="left"/>
              <w:rPr/>
            </w:pPr>
            <w:r>
              <w:rPr/>
              <w:t>  </w:t>
            </w:r>
          </w:p>
        </w:tc>
        <w:tc>
          <w:tcPr>
            <w:tcW w:w="8665" w:type="dxa"/>
            <w:tcBorders/>
          </w:tcPr>
          <w:p>
            <w:pPr>
              <w:pStyle w:val="TableContents"/>
              <w:bidi w:val="0"/>
              <w:spacing w:before="0" w:after="0"/>
              <w:jc w:val="left"/>
              <w:rPr/>
            </w:pPr>
            <w:hyperlink w:anchor="d131426dex992.htm">
              <w:r>
                <w:rPr>
                  <w:rStyle w:val="InternetLink"/>
                  <w:rFonts w:ascii="Times New Roman" w:hAnsi="Times New Roman"/>
                  <w:sz w:val="20"/>
                </w:rPr>
                <w:t xml:space="preserve">RNS Announcement dated August 4,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9"/>
        <w:gridCol w:w="107"/>
        <w:gridCol w:w="395"/>
        <w:gridCol w:w="107"/>
        <w:gridCol w:w="593"/>
        <w:gridCol w:w="107"/>
        <w:gridCol w:w="4497"/>
      </w:tblGrid>
      <w:tr>
        <w:trPr/>
        <w:tc>
          <w:tcPr>
            <w:tcW w:w="439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497" w:type="dxa"/>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197" w:type="dxa"/>
            <w:gridSpan w:val="3"/>
            <w:tcBorders/>
          </w:tcPr>
          <w:p>
            <w:pPr>
              <w:pStyle w:val="TableContents"/>
              <w:bidi w:val="0"/>
              <w:spacing w:before="0" w:after="283"/>
              <w:jc w:val="left"/>
              <w:rPr>
                <w:b/>
              </w:rPr>
            </w:pPr>
            <w:r>
              <w:rPr>
                <w:b/>
              </w:rPr>
              <w:t>WISE GROUP PLC</w:t>
            </w:r>
          </w:p>
        </w:tc>
      </w:tr>
      <w:tr>
        <w:trPr>
          <w:trHeight w:val="240" w:hRule="atLeast"/>
        </w:trPr>
        <w:tc>
          <w:tcPr>
            <w:tcW w:w="4399"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00" w:type="dxa"/>
            <w:gridSpan w:val="2"/>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bidi w:val="0"/>
              <w:spacing w:before="0" w:after="283"/>
              <w:jc w:val="left"/>
              <w:rPr/>
            </w:pPr>
            <w:r>
              <w:rPr/>
              <w:t>Date: August 5, 2026</w:t>
            </w:r>
          </w:p>
        </w:tc>
        <w:tc>
          <w:tcPr>
            <w:tcW w:w="107"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497" w:type="dxa"/>
            <w:tcBorders>
              <w:bottom w:val="single" w:sz="2" w:space="0" w:color="000000"/>
            </w:tcBorders>
            <w:tcMar>
              <w:bottom w:w="28" w:type="dxa"/>
            </w:tcMar>
          </w:tcPr>
          <w:p>
            <w:pPr>
              <w:pStyle w:val="TableContents"/>
              <w:bidi w:val="0"/>
              <w:spacing w:before="0" w:after="283"/>
              <w:jc w:val="left"/>
              <w:rPr/>
            </w:pPr>
            <w:r>
              <w:rPr/>
              <w:t>/s/ Emmanuel Thomassin</w:t>
            </w:r>
          </w:p>
        </w:tc>
      </w:tr>
      <w:tr>
        <w:trPr/>
        <w:tc>
          <w:tcPr>
            <w:tcW w:w="4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pPr>
            <w:r>
              <w:rPr/>
              <w:t>Emmanuel Thomassin</w:t>
            </w:r>
          </w:p>
        </w:tc>
      </w:tr>
      <w:tr>
        <w:trPr/>
        <w:tc>
          <w:tcPr>
            <w:tcW w:w="4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497" w:type="dxa"/>
            <w:tcBorders/>
            <w:vAlign w:val="bottom"/>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31426dex991.htm"/>
      <w:bookmarkStart w:id="3" w:name="ksd131426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Wise Group plc </w:t>
      </w:r>
    </w:p>
    <w:p>
      <w:pPr>
        <w:pStyle w:val="TextBody"/>
        <w:bidi w:val="0"/>
        <w:spacing w:before="120" w:after="0"/>
        <w:jc w:val="center"/>
        <w:rPr>
          <w:rFonts w:ascii="Times New Roman" w:hAnsi="Times New Roman"/>
          <w:b/>
          <w:sz w:val="20"/>
        </w:rPr>
      </w:pPr>
      <w:r>
        <w:rPr>
          <w:rFonts w:ascii="Times New Roman" w:hAnsi="Times New Roman"/>
          <w:b/>
          <w:sz w:val="20"/>
        </w:rPr>
        <w:t xml:space="preserve">Transaction in Own Shares </w:t>
      </w:r>
    </w:p>
    <w:p>
      <w:pPr>
        <w:pStyle w:val="TextBody"/>
        <w:bidi w:val="0"/>
        <w:spacing w:before="240" w:after="0"/>
        <w:jc w:val="left"/>
        <w:rPr>
          <w:rFonts w:ascii="Times New Roman" w:hAnsi="Times New Roman"/>
          <w:sz w:val="20"/>
        </w:rPr>
      </w:pPr>
      <w:r>
        <w:rPr>
          <w:rFonts w:ascii="Times New Roman" w:hAnsi="Times New Roman"/>
          <w:sz w:val="20"/>
        </w:rPr>
        <w:t xml:space="preserve">Wise Group plc (the “Company”) announces that from 21 July 2026 up to and including 24 July 2026 it repurchased a total of (i) 379,779 of its Class A ordinary shares on Nasdaq and/or other applicable US trading venues and (ii) 648,736 of its Class A ordinary shares on the London Stock Exchange and other in both cases through Goldman Sachs International or one of its affiliates, as detailed below. </w:t>
      </w:r>
    </w:p>
    <w:p>
      <w:pPr>
        <w:pStyle w:val="TextBody"/>
        <w:bidi w:val="0"/>
        <w:spacing w:before="240" w:after="0"/>
        <w:jc w:val="left"/>
        <w:rPr>
          <w:rFonts w:ascii="Times New Roman" w:hAnsi="Times New Roman"/>
          <w:sz w:val="20"/>
        </w:rPr>
      </w:pPr>
      <w:r>
        <w:rPr>
          <w:rFonts w:ascii="Times New Roman" w:hAnsi="Times New Roman"/>
          <w:sz w:val="20"/>
        </w:rPr>
        <w:t xml:space="preserve">The repurchased Class A ordinary shares will be held in treasury.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0"/>
        <w:gridCol w:w="120"/>
        <w:gridCol w:w="1517"/>
        <w:gridCol w:w="120"/>
        <w:gridCol w:w="1577"/>
        <w:gridCol w:w="120"/>
        <w:gridCol w:w="1517"/>
        <w:gridCol w:w="120"/>
        <w:gridCol w:w="1517"/>
        <w:gridCol w:w="119"/>
        <w:gridCol w:w="1508"/>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15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Aggregate number of</w:t>
              <w:br/>
              <w:t>Class A ordinary</w:t>
              <w:br/>
              <w:t>shares purchased</w:t>
            </w:r>
          </w:p>
        </w:tc>
        <w:tc>
          <w:tcPr>
            <w:tcW w:w="120" w:type="dxa"/>
            <w:tcBorders/>
            <w:vAlign w:val="bottom"/>
          </w:tcPr>
          <w:p>
            <w:pPr>
              <w:pStyle w:val="TableContents"/>
              <w:bidi w:val="0"/>
              <w:spacing w:before="0" w:after="283"/>
              <w:jc w:val="left"/>
              <w:rPr/>
            </w:pPr>
            <w:r>
              <w:rPr/>
              <w:t>  </w:t>
            </w:r>
          </w:p>
        </w:tc>
        <w:tc>
          <w:tcPr>
            <w:tcW w:w="157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Volume</w:t>
            </w:r>
          </w:p>
          <w:p>
            <w:pPr>
              <w:pStyle w:val="TableContents"/>
              <w:bidi w:val="0"/>
              <w:spacing w:before="0" w:after="20"/>
              <w:jc w:val="center"/>
              <w:rPr>
                <w:rFonts w:ascii="Times New Roman" w:hAnsi="Times New Roman"/>
                <w:b/>
                <w:sz w:val="16"/>
              </w:rPr>
            </w:pPr>
            <w:r>
              <w:rPr>
                <w:rFonts w:ascii="Times New Roman" w:hAnsi="Times New Roman"/>
                <w:b/>
                <w:sz w:val="16"/>
              </w:rPr>
              <w:t>weighted</w:t>
              <w:br/>
              <w:t>average price</w:t>
            </w:r>
          </w:p>
        </w:tc>
        <w:tc>
          <w:tcPr>
            <w:tcW w:w="120" w:type="dxa"/>
            <w:tcBorders/>
            <w:vAlign w:val="bottom"/>
          </w:tcPr>
          <w:p>
            <w:pPr>
              <w:pStyle w:val="TableContents"/>
              <w:bidi w:val="0"/>
              <w:spacing w:before="0" w:after="283"/>
              <w:jc w:val="left"/>
              <w:rPr/>
            </w:pPr>
            <w:r>
              <w:rPr/>
              <w:t>  </w:t>
            </w:r>
          </w:p>
        </w:tc>
        <w:tc>
          <w:tcPr>
            <w:tcW w:w="151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Highest price</w:t>
            </w:r>
          </w:p>
          <w:p>
            <w:pPr>
              <w:pStyle w:val="TableContents"/>
              <w:bidi w:val="0"/>
              <w:spacing w:before="0" w:after="20"/>
              <w:jc w:val="center"/>
              <w:rPr>
                <w:rFonts w:ascii="Times New Roman" w:hAnsi="Times New Roman"/>
                <w:b/>
                <w:sz w:val="16"/>
              </w:rPr>
            </w:pPr>
            <w:r>
              <w:rPr>
                <w:rFonts w:ascii="Times New Roman" w:hAnsi="Times New Roman"/>
                <w:b/>
                <w:sz w:val="16"/>
              </w:rPr>
              <w:t>paid</w:t>
            </w:r>
          </w:p>
        </w:tc>
        <w:tc>
          <w:tcPr>
            <w:tcW w:w="120" w:type="dxa"/>
            <w:tcBorders/>
            <w:vAlign w:val="bottom"/>
          </w:tcPr>
          <w:p>
            <w:pPr>
              <w:pStyle w:val="TableContents"/>
              <w:bidi w:val="0"/>
              <w:spacing w:before="0" w:after="283"/>
              <w:jc w:val="left"/>
              <w:rPr/>
            </w:pPr>
            <w:r>
              <w:rPr/>
              <w:t>  </w:t>
            </w:r>
          </w:p>
        </w:tc>
        <w:tc>
          <w:tcPr>
            <w:tcW w:w="151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Lowest price</w:t>
            </w:r>
          </w:p>
          <w:p>
            <w:pPr>
              <w:pStyle w:val="TableContents"/>
              <w:bidi w:val="0"/>
              <w:spacing w:before="0" w:after="20"/>
              <w:jc w:val="center"/>
              <w:rPr>
                <w:rFonts w:ascii="Times New Roman" w:hAnsi="Times New Roman"/>
                <w:b/>
                <w:sz w:val="16"/>
              </w:rPr>
            </w:pPr>
            <w:r>
              <w:rPr>
                <w:rFonts w:ascii="Times New Roman" w:hAnsi="Times New Roman"/>
                <w:b/>
                <w:sz w:val="16"/>
              </w:rPr>
              <w:t>paid</w:t>
            </w:r>
          </w:p>
        </w:tc>
        <w:tc>
          <w:tcPr>
            <w:tcW w:w="119" w:type="dxa"/>
            <w:tcBorders/>
            <w:vAlign w:val="bottom"/>
          </w:tcPr>
          <w:p>
            <w:pPr>
              <w:pStyle w:val="TableContents"/>
              <w:bidi w:val="0"/>
              <w:spacing w:before="0" w:after="283"/>
              <w:jc w:val="left"/>
              <w:rPr/>
            </w:pPr>
            <w:r>
              <w:rPr/>
              <w:t>  </w:t>
            </w:r>
          </w:p>
        </w:tc>
        <w:tc>
          <w:tcPr>
            <w:tcW w:w="150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venue</w:t>
            </w:r>
          </w:p>
        </w:tc>
      </w:tr>
      <w:tr>
        <w:trPr/>
        <w:tc>
          <w:tcPr>
            <w:tcW w:w="1970" w:type="dxa"/>
            <w:tcBorders/>
          </w:tcPr>
          <w:p>
            <w:pPr>
              <w:pStyle w:val="TableContents"/>
              <w:bidi w:val="0"/>
              <w:spacing w:before="0" w:after="283"/>
              <w:jc w:val="left"/>
              <w:rPr/>
            </w:pPr>
            <w:r>
              <w:rPr/>
              <w:t>2026-07-21</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126,653</w:t>
            </w:r>
          </w:p>
        </w:tc>
        <w:tc>
          <w:tcPr>
            <w:tcW w:w="12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center"/>
              <w:rPr/>
            </w:pPr>
            <w:r>
              <w:rPr/>
              <w:t>GBP 9.2402</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9.3660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9.0600</w:t>
            </w:r>
          </w:p>
        </w:tc>
        <w:tc>
          <w:tcPr>
            <w:tcW w:w="119" w:type="dxa"/>
            <w:tcBorders/>
            <w:vAlign w:val="bottom"/>
          </w:tcPr>
          <w:p>
            <w:pPr>
              <w:pStyle w:val="TableContents"/>
              <w:bidi w:val="0"/>
              <w:spacing w:before="0" w:after="283"/>
              <w:jc w:val="left"/>
              <w:rPr/>
            </w:pPr>
            <w:r>
              <w:rPr/>
              <w:t>  </w:t>
            </w:r>
          </w:p>
        </w:tc>
        <w:tc>
          <w:tcPr>
            <w:tcW w:w="1508" w:type="dxa"/>
            <w:tcBorders/>
          </w:tcPr>
          <w:p>
            <w:pPr>
              <w:pStyle w:val="TableContents"/>
              <w:bidi w:val="0"/>
              <w:spacing w:before="0" w:after="283"/>
              <w:jc w:val="center"/>
              <w:rPr/>
            </w:pPr>
            <w:r>
              <w:rPr/>
              <w:t>XLON</w:t>
            </w:r>
          </w:p>
        </w:tc>
      </w:tr>
      <w:tr>
        <w:trPr/>
        <w:tc>
          <w:tcPr>
            <w:tcW w:w="1970" w:type="dxa"/>
            <w:tcBorders/>
          </w:tcPr>
          <w:p>
            <w:pPr>
              <w:pStyle w:val="TableContents"/>
              <w:bidi w:val="0"/>
              <w:spacing w:before="0" w:after="283"/>
              <w:jc w:val="left"/>
              <w:rPr/>
            </w:pPr>
            <w:r>
              <w:rPr/>
              <w:t>2026-07-21</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60,000</w:t>
            </w:r>
          </w:p>
        </w:tc>
        <w:tc>
          <w:tcPr>
            <w:tcW w:w="12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center"/>
              <w:rPr/>
            </w:pPr>
            <w:r>
              <w:rPr/>
              <w:t>USD 12.4650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USD 12.6100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USD 12.3300</w:t>
            </w:r>
          </w:p>
        </w:tc>
        <w:tc>
          <w:tcPr>
            <w:tcW w:w="119" w:type="dxa"/>
            <w:tcBorders/>
            <w:vAlign w:val="bottom"/>
          </w:tcPr>
          <w:p>
            <w:pPr>
              <w:pStyle w:val="TableContents"/>
              <w:bidi w:val="0"/>
              <w:spacing w:before="0" w:after="283"/>
              <w:jc w:val="left"/>
              <w:rPr/>
            </w:pPr>
            <w:r>
              <w:rPr/>
              <w:t>  </w:t>
            </w:r>
          </w:p>
        </w:tc>
        <w:tc>
          <w:tcPr>
            <w:tcW w:w="1508" w:type="dxa"/>
            <w:tcBorders/>
          </w:tcPr>
          <w:p>
            <w:pPr>
              <w:pStyle w:val="TableContents"/>
              <w:bidi w:val="0"/>
              <w:spacing w:before="0" w:after="283"/>
              <w:jc w:val="center"/>
              <w:rPr/>
            </w:pPr>
            <w:r>
              <w:rPr/>
              <w:t>NASDAQ</w:t>
            </w:r>
          </w:p>
        </w:tc>
      </w:tr>
      <w:tr>
        <w:trPr/>
        <w:tc>
          <w:tcPr>
            <w:tcW w:w="1970" w:type="dxa"/>
            <w:tcBorders/>
          </w:tcPr>
          <w:p>
            <w:pPr>
              <w:pStyle w:val="TableContents"/>
              <w:bidi w:val="0"/>
              <w:spacing w:before="0" w:after="283"/>
              <w:jc w:val="left"/>
              <w:rPr/>
            </w:pPr>
            <w:r>
              <w:rPr/>
              <w:t>2026-07-22</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112,087</w:t>
            </w:r>
          </w:p>
        </w:tc>
        <w:tc>
          <w:tcPr>
            <w:tcW w:w="12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center"/>
              <w:rPr/>
            </w:pPr>
            <w:r>
              <w:rPr/>
              <w:t>GBP 9.2790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9.3780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9.2280</w:t>
            </w:r>
          </w:p>
        </w:tc>
        <w:tc>
          <w:tcPr>
            <w:tcW w:w="119" w:type="dxa"/>
            <w:tcBorders/>
            <w:vAlign w:val="bottom"/>
          </w:tcPr>
          <w:p>
            <w:pPr>
              <w:pStyle w:val="TableContents"/>
              <w:bidi w:val="0"/>
              <w:spacing w:before="0" w:after="283"/>
              <w:jc w:val="left"/>
              <w:rPr/>
            </w:pPr>
            <w:r>
              <w:rPr/>
              <w:t>  </w:t>
            </w:r>
          </w:p>
        </w:tc>
        <w:tc>
          <w:tcPr>
            <w:tcW w:w="1508" w:type="dxa"/>
            <w:tcBorders/>
          </w:tcPr>
          <w:p>
            <w:pPr>
              <w:pStyle w:val="TableContents"/>
              <w:bidi w:val="0"/>
              <w:spacing w:before="0" w:after="283"/>
              <w:jc w:val="center"/>
              <w:rPr/>
            </w:pPr>
            <w:r>
              <w:rPr/>
              <w:t>XLON</w:t>
            </w:r>
          </w:p>
        </w:tc>
      </w:tr>
      <w:tr>
        <w:trPr/>
        <w:tc>
          <w:tcPr>
            <w:tcW w:w="1970" w:type="dxa"/>
            <w:tcBorders/>
          </w:tcPr>
          <w:p>
            <w:pPr>
              <w:pStyle w:val="TableContents"/>
              <w:bidi w:val="0"/>
              <w:spacing w:before="0" w:after="283"/>
              <w:jc w:val="left"/>
              <w:rPr/>
            </w:pPr>
            <w:r>
              <w:rPr/>
              <w:t>2026-07-22</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60,000</w:t>
            </w:r>
          </w:p>
        </w:tc>
        <w:tc>
          <w:tcPr>
            <w:tcW w:w="12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center"/>
              <w:rPr/>
            </w:pPr>
            <w:r>
              <w:rPr/>
              <w:t>USD 12.4105</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USD 12.4700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USD 12.3600</w:t>
            </w:r>
          </w:p>
        </w:tc>
        <w:tc>
          <w:tcPr>
            <w:tcW w:w="119" w:type="dxa"/>
            <w:tcBorders/>
            <w:vAlign w:val="bottom"/>
          </w:tcPr>
          <w:p>
            <w:pPr>
              <w:pStyle w:val="TableContents"/>
              <w:bidi w:val="0"/>
              <w:spacing w:before="0" w:after="283"/>
              <w:jc w:val="left"/>
              <w:rPr/>
            </w:pPr>
            <w:r>
              <w:rPr/>
              <w:t>  </w:t>
            </w:r>
          </w:p>
        </w:tc>
        <w:tc>
          <w:tcPr>
            <w:tcW w:w="1508" w:type="dxa"/>
            <w:tcBorders/>
          </w:tcPr>
          <w:p>
            <w:pPr>
              <w:pStyle w:val="TableContents"/>
              <w:bidi w:val="0"/>
              <w:spacing w:before="0" w:after="283"/>
              <w:jc w:val="center"/>
              <w:rPr/>
            </w:pPr>
            <w:r>
              <w:rPr/>
              <w:t>NASDAQ</w:t>
            </w:r>
          </w:p>
        </w:tc>
      </w:tr>
      <w:tr>
        <w:trPr/>
        <w:tc>
          <w:tcPr>
            <w:tcW w:w="1970" w:type="dxa"/>
            <w:tcBorders/>
          </w:tcPr>
          <w:p>
            <w:pPr>
              <w:pStyle w:val="TableContents"/>
              <w:bidi w:val="0"/>
              <w:spacing w:before="0" w:after="283"/>
              <w:jc w:val="left"/>
              <w:rPr/>
            </w:pPr>
            <w:r>
              <w:rPr/>
              <w:t>2026-07-23</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109,996</w:t>
            </w:r>
          </w:p>
        </w:tc>
        <w:tc>
          <w:tcPr>
            <w:tcW w:w="12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center"/>
              <w:rPr/>
            </w:pPr>
            <w:r>
              <w:rPr/>
              <w:t>GBP 9.0905</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9.1780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9.0220</w:t>
            </w:r>
          </w:p>
        </w:tc>
        <w:tc>
          <w:tcPr>
            <w:tcW w:w="119" w:type="dxa"/>
            <w:tcBorders/>
            <w:vAlign w:val="bottom"/>
          </w:tcPr>
          <w:p>
            <w:pPr>
              <w:pStyle w:val="TableContents"/>
              <w:bidi w:val="0"/>
              <w:spacing w:before="0" w:after="283"/>
              <w:jc w:val="left"/>
              <w:rPr/>
            </w:pPr>
            <w:r>
              <w:rPr/>
              <w:t>  </w:t>
            </w:r>
          </w:p>
        </w:tc>
        <w:tc>
          <w:tcPr>
            <w:tcW w:w="1508" w:type="dxa"/>
            <w:tcBorders/>
          </w:tcPr>
          <w:p>
            <w:pPr>
              <w:pStyle w:val="TableContents"/>
              <w:bidi w:val="0"/>
              <w:spacing w:before="0" w:after="283"/>
              <w:jc w:val="center"/>
              <w:rPr/>
            </w:pPr>
            <w:r>
              <w:rPr/>
              <w:t>XLON</w:t>
            </w:r>
          </w:p>
        </w:tc>
      </w:tr>
      <w:tr>
        <w:trPr/>
        <w:tc>
          <w:tcPr>
            <w:tcW w:w="1970" w:type="dxa"/>
            <w:tcBorders/>
          </w:tcPr>
          <w:p>
            <w:pPr>
              <w:pStyle w:val="TableContents"/>
              <w:bidi w:val="0"/>
              <w:spacing w:before="0" w:after="283"/>
              <w:jc w:val="left"/>
              <w:rPr/>
            </w:pPr>
            <w:r>
              <w:rPr/>
              <w:t>2026-07-23</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59,779</w:t>
            </w:r>
          </w:p>
        </w:tc>
        <w:tc>
          <w:tcPr>
            <w:tcW w:w="12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center"/>
              <w:rPr/>
            </w:pPr>
            <w:r>
              <w:rPr/>
              <w:t>USD 12.0947</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USD 12.2500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USD 12.0200</w:t>
            </w:r>
          </w:p>
        </w:tc>
        <w:tc>
          <w:tcPr>
            <w:tcW w:w="119" w:type="dxa"/>
            <w:tcBorders/>
            <w:vAlign w:val="bottom"/>
          </w:tcPr>
          <w:p>
            <w:pPr>
              <w:pStyle w:val="TableContents"/>
              <w:bidi w:val="0"/>
              <w:spacing w:before="0" w:after="283"/>
              <w:jc w:val="left"/>
              <w:rPr/>
            </w:pPr>
            <w:r>
              <w:rPr/>
              <w:t>  </w:t>
            </w:r>
          </w:p>
        </w:tc>
        <w:tc>
          <w:tcPr>
            <w:tcW w:w="1508" w:type="dxa"/>
            <w:tcBorders/>
          </w:tcPr>
          <w:p>
            <w:pPr>
              <w:pStyle w:val="TableContents"/>
              <w:bidi w:val="0"/>
              <w:spacing w:before="0" w:after="283"/>
              <w:jc w:val="center"/>
              <w:rPr/>
            </w:pPr>
            <w:r>
              <w:rPr/>
              <w:t>NASDAQ</w:t>
            </w:r>
          </w:p>
        </w:tc>
      </w:tr>
      <w:tr>
        <w:trPr/>
        <w:tc>
          <w:tcPr>
            <w:tcW w:w="1970" w:type="dxa"/>
            <w:tcBorders/>
          </w:tcPr>
          <w:p>
            <w:pPr>
              <w:pStyle w:val="TableContents"/>
              <w:bidi w:val="0"/>
              <w:spacing w:before="0" w:after="283"/>
              <w:jc w:val="left"/>
              <w:rPr/>
            </w:pPr>
            <w:r>
              <w:rPr/>
              <w:t>2026-07-24</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200,000</w:t>
            </w:r>
          </w:p>
        </w:tc>
        <w:tc>
          <w:tcPr>
            <w:tcW w:w="12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center"/>
              <w:rPr/>
            </w:pPr>
            <w:r>
              <w:rPr/>
              <w:t>GBP 8.5035</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8.6360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8.3400</w:t>
            </w:r>
          </w:p>
        </w:tc>
        <w:tc>
          <w:tcPr>
            <w:tcW w:w="119" w:type="dxa"/>
            <w:tcBorders/>
            <w:vAlign w:val="bottom"/>
          </w:tcPr>
          <w:p>
            <w:pPr>
              <w:pStyle w:val="TableContents"/>
              <w:bidi w:val="0"/>
              <w:spacing w:before="0" w:after="283"/>
              <w:jc w:val="left"/>
              <w:rPr/>
            </w:pPr>
            <w:r>
              <w:rPr/>
              <w:t>  </w:t>
            </w:r>
          </w:p>
        </w:tc>
        <w:tc>
          <w:tcPr>
            <w:tcW w:w="1508" w:type="dxa"/>
            <w:tcBorders/>
          </w:tcPr>
          <w:p>
            <w:pPr>
              <w:pStyle w:val="TableContents"/>
              <w:bidi w:val="0"/>
              <w:spacing w:before="0" w:after="283"/>
              <w:jc w:val="center"/>
              <w:rPr/>
            </w:pPr>
            <w:r>
              <w:rPr/>
              <w:t>XLON</w:t>
            </w:r>
          </w:p>
        </w:tc>
      </w:tr>
      <w:tr>
        <w:trPr/>
        <w:tc>
          <w:tcPr>
            <w:tcW w:w="1970" w:type="dxa"/>
            <w:tcBorders/>
          </w:tcPr>
          <w:p>
            <w:pPr>
              <w:pStyle w:val="TableContents"/>
              <w:bidi w:val="0"/>
              <w:spacing w:before="0" w:after="283"/>
              <w:jc w:val="left"/>
              <w:rPr/>
            </w:pPr>
            <w:r>
              <w:rPr/>
              <w:t>2026-07-24</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100,000</w:t>
            </w:r>
          </w:p>
        </w:tc>
        <w:tc>
          <w:tcPr>
            <w:tcW w:w="12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center"/>
              <w:rPr/>
            </w:pPr>
            <w:r>
              <w:rPr/>
              <w:t>GBP 8.5207</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8.6360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GBP 8.4140</w:t>
            </w:r>
          </w:p>
        </w:tc>
        <w:tc>
          <w:tcPr>
            <w:tcW w:w="119" w:type="dxa"/>
            <w:tcBorders/>
            <w:vAlign w:val="bottom"/>
          </w:tcPr>
          <w:p>
            <w:pPr>
              <w:pStyle w:val="TableContents"/>
              <w:bidi w:val="0"/>
              <w:spacing w:before="0" w:after="283"/>
              <w:jc w:val="left"/>
              <w:rPr/>
            </w:pPr>
            <w:r>
              <w:rPr/>
              <w:t>  </w:t>
            </w:r>
          </w:p>
        </w:tc>
        <w:tc>
          <w:tcPr>
            <w:tcW w:w="1508" w:type="dxa"/>
            <w:tcBorders/>
          </w:tcPr>
          <w:p>
            <w:pPr>
              <w:pStyle w:val="TableContents"/>
              <w:bidi w:val="0"/>
              <w:spacing w:before="0" w:after="283"/>
              <w:jc w:val="center"/>
              <w:rPr/>
            </w:pPr>
            <w:r>
              <w:rPr/>
              <w:t>CHIX</w:t>
            </w:r>
          </w:p>
        </w:tc>
      </w:tr>
      <w:tr>
        <w:trPr/>
        <w:tc>
          <w:tcPr>
            <w:tcW w:w="1970" w:type="dxa"/>
            <w:tcBorders/>
          </w:tcPr>
          <w:p>
            <w:pPr>
              <w:pStyle w:val="TableContents"/>
              <w:bidi w:val="0"/>
              <w:spacing w:before="0" w:after="283"/>
              <w:jc w:val="left"/>
              <w:rPr/>
            </w:pPr>
            <w:r>
              <w:rPr/>
              <w:t>2026-07-24</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200,000</w:t>
            </w:r>
          </w:p>
        </w:tc>
        <w:tc>
          <w:tcPr>
            <w:tcW w:w="12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center"/>
              <w:rPr/>
            </w:pPr>
            <w:r>
              <w:rPr/>
              <w:t>USD 11.4067</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USD 11.5700</w:t>
            </w:r>
          </w:p>
        </w:tc>
        <w:tc>
          <w:tcPr>
            <w:tcW w:w="120" w:type="dxa"/>
            <w:tcBorders/>
            <w:vAlign w:val="bottom"/>
          </w:tcPr>
          <w:p>
            <w:pPr>
              <w:pStyle w:val="TableContents"/>
              <w:bidi w:val="0"/>
              <w:spacing w:before="0" w:after="283"/>
              <w:jc w:val="left"/>
              <w:rPr/>
            </w:pPr>
            <w:r>
              <w:rPr/>
              <w:t>  </w:t>
            </w:r>
          </w:p>
        </w:tc>
        <w:tc>
          <w:tcPr>
            <w:tcW w:w="1517" w:type="dxa"/>
            <w:tcBorders/>
          </w:tcPr>
          <w:p>
            <w:pPr>
              <w:pStyle w:val="TableContents"/>
              <w:bidi w:val="0"/>
              <w:spacing w:before="0" w:after="283"/>
              <w:jc w:val="center"/>
              <w:rPr/>
            </w:pPr>
            <w:r>
              <w:rPr/>
              <w:t>USD 11.2200</w:t>
            </w:r>
          </w:p>
        </w:tc>
        <w:tc>
          <w:tcPr>
            <w:tcW w:w="119" w:type="dxa"/>
            <w:tcBorders/>
            <w:vAlign w:val="bottom"/>
          </w:tcPr>
          <w:p>
            <w:pPr>
              <w:pStyle w:val="TableContents"/>
              <w:bidi w:val="0"/>
              <w:spacing w:before="0" w:after="283"/>
              <w:jc w:val="left"/>
              <w:rPr/>
            </w:pPr>
            <w:r>
              <w:rPr/>
              <w:t>  </w:t>
            </w:r>
          </w:p>
        </w:tc>
        <w:tc>
          <w:tcPr>
            <w:tcW w:w="1508" w:type="dxa"/>
            <w:tcBorders/>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repurchases form part of the Company’s share buyback program announced on July 21, 2026 (the “Buyback”). In connection with the Buyback, the Company expects to repurchase up to £405 million (approximately $540 million) of its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 </w:t>
      </w:r>
    </w:p>
    <w:p>
      <w:pPr>
        <w:pStyle w:val="TextBody"/>
        <w:bidi w:val="0"/>
        <w:spacing w:before="240" w:after="0"/>
        <w:jc w:val="left"/>
        <w:rPr>
          <w:rFonts w:ascii="Times New Roman" w:hAnsi="Times New Roman"/>
          <w:sz w:val="20"/>
        </w:rPr>
      </w:pPr>
      <w:r>
        <w:rPr>
          <w:rFonts w:ascii="Times New Roman" w:hAnsi="Times New Roman"/>
          <w:sz w:val="20"/>
        </w:rPr>
        <w:t xml:space="preserve">http://www.rns-pdf.londonstockexchange.com/rns/0547O_1-2026-7-27.pdf </w:t>
      </w:r>
    </w:p>
    <w:p>
      <w:pPr>
        <w:pStyle w:val="TextBody"/>
        <w:bidi w:val="0"/>
        <w:spacing w:before="360" w:after="0"/>
        <w:jc w:val="left"/>
        <w:rPr>
          <w:rFonts w:ascii="Times New Roman" w:hAnsi="Times New Roman"/>
          <w:b/>
          <w:sz w:val="20"/>
        </w:rPr>
      </w:pPr>
      <w:r>
        <w:rPr>
          <w:rFonts w:ascii="Times New Roman" w:hAnsi="Times New Roman"/>
          <w:b/>
          <w:sz w:val="20"/>
        </w:rPr>
        <w:t xml:space="preserve">Enquiries </w:t>
      </w:r>
    </w:p>
    <w:p>
      <w:pPr>
        <w:pStyle w:val="TextBody"/>
        <w:bidi w:val="0"/>
        <w:spacing w:before="120" w:after="0"/>
        <w:jc w:val="left"/>
        <w:rPr>
          <w:rFonts w:ascii="Times New Roman" w:hAnsi="Times New Roman"/>
          <w:sz w:val="20"/>
        </w:rPr>
      </w:pPr>
      <w:r>
        <w:rPr>
          <w:rFonts w:ascii="Times New Roman" w:hAnsi="Times New Roman"/>
          <w:sz w:val="20"/>
        </w:rPr>
        <w:t xml:space="preserve">Martin Adams -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owners@wise.com </w:t>
      </w:r>
    </w:p>
    <w:p>
      <w:pPr>
        <w:pStyle w:val="TextBody"/>
        <w:bidi w:val="0"/>
        <w:spacing w:before="240" w:after="0"/>
        <w:jc w:val="left"/>
        <w:rPr>
          <w:rFonts w:ascii="Times New Roman" w:hAnsi="Times New Roman"/>
          <w:sz w:val="20"/>
        </w:rPr>
      </w:pPr>
      <w:r>
        <w:rPr>
          <w:rFonts w:ascii="Times New Roman" w:hAnsi="Times New Roman"/>
          <w:sz w:val="20"/>
        </w:rPr>
        <w:t xml:space="preserve">Sana Rahman - Communications </w:t>
      </w:r>
    </w:p>
    <w:p>
      <w:pPr>
        <w:pStyle w:val="TextBody"/>
        <w:bidi w:val="0"/>
        <w:spacing w:before="0" w:after="0"/>
        <w:jc w:val="left"/>
        <w:rPr>
          <w:rFonts w:ascii="Times New Roman" w:hAnsi="Times New Roman"/>
          <w:sz w:val="20"/>
        </w:rPr>
      </w:pPr>
      <w:r>
        <w:rPr>
          <w:rFonts w:ascii="Times New Roman" w:hAnsi="Times New Roman"/>
          <w:sz w:val="20"/>
        </w:rPr>
        <w:t xml:space="preserve">press@wise.com </w:t>
      </w:r>
    </w:p>
    <w:p>
      <w:pPr>
        <w:pStyle w:val="TextBody"/>
        <w:bidi w:val="0"/>
        <w:spacing w:before="240" w:after="0"/>
        <w:jc w:val="left"/>
        <w:rPr>
          <w:rFonts w:ascii="Times New Roman" w:hAnsi="Times New Roman"/>
          <w:sz w:val="20"/>
        </w:rPr>
      </w:pPr>
      <w:r>
        <w:rPr>
          <w:rFonts w:ascii="Times New Roman" w:hAnsi="Times New Roman"/>
          <w:sz w:val="20"/>
        </w:rPr>
        <w:t xml:space="preserve">Brunswick Group </w:t>
      </w:r>
    </w:p>
    <w:p>
      <w:pPr>
        <w:pStyle w:val="TextBody"/>
        <w:bidi w:val="0"/>
        <w:spacing w:before="0" w:after="0"/>
        <w:jc w:val="left"/>
        <w:rPr>
          <w:rFonts w:ascii="Times New Roman" w:hAnsi="Times New Roman"/>
          <w:sz w:val="20"/>
        </w:rPr>
      </w:pPr>
      <w:r>
        <w:rPr>
          <w:rFonts w:ascii="Times New Roman" w:hAnsi="Times New Roman"/>
          <w:sz w:val="20"/>
        </w:rPr>
        <w:t xml:space="preserve">Charles Pretzlik / Emily Murphy </w:t>
      </w:r>
    </w:p>
    <w:p>
      <w:pPr>
        <w:pStyle w:val="TextBody"/>
        <w:bidi w:val="0"/>
        <w:spacing w:before="0" w:after="0"/>
        <w:jc w:val="left"/>
        <w:rPr>
          <w:rFonts w:ascii="Times New Roman" w:hAnsi="Times New Roman"/>
          <w:sz w:val="20"/>
        </w:rPr>
      </w:pPr>
      <w:r>
        <w:rPr>
          <w:rFonts w:ascii="Times New Roman" w:hAnsi="Times New Roman"/>
          <w:sz w:val="20"/>
        </w:rPr>
        <w:t xml:space="preserve">Wise@brunswickgroup.com </w:t>
      </w:r>
    </w:p>
    <w:p>
      <w:pPr>
        <w:pStyle w:val="TextBody"/>
        <w:bidi w:val="0"/>
        <w:spacing w:before="0" w:after="0"/>
        <w:jc w:val="left"/>
        <w:rPr>
          <w:rFonts w:ascii="Times New Roman" w:hAnsi="Times New Roman"/>
          <w:sz w:val="20"/>
        </w:rPr>
      </w:pPr>
      <w:r>
        <w:rPr>
          <w:rFonts w:ascii="Times New Roman" w:hAnsi="Times New Roman"/>
          <w:sz w:val="20"/>
        </w:rPr>
        <w:t xml:space="preserve">+44 (0) 20 7404 5959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Wise </w:t>
      </w:r>
    </w:p>
    <w:p>
      <w:pPr>
        <w:pStyle w:val="TextBody"/>
        <w:bidi w:val="0"/>
        <w:spacing w:before="120" w:after="0"/>
        <w:jc w:val="left"/>
        <w:rPr>
          <w:rFonts w:ascii="Times New Roman" w:hAnsi="Times New Roman"/>
          <w:sz w:val="20"/>
        </w:rPr>
      </w:pPr>
      <w:r>
        <w:rPr>
          <w:rFonts w:ascii="Times New Roman" w:hAnsi="Times New Roman"/>
          <w:sz w:val="20"/>
        </w:rPr>
        <w:t xml:space="preserve">Wise is a global technology company, building the best way to move and manage the world’s money. </w:t>
      </w:r>
    </w:p>
    <w:p>
      <w:pPr>
        <w:pStyle w:val="TextBody"/>
        <w:bidi w:val="0"/>
        <w:spacing w:before="240" w:after="0"/>
        <w:jc w:val="left"/>
        <w:rPr>
          <w:rFonts w:ascii="Times New Roman" w:hAnsi="Times New Roman"/>
          <w:sz w:val="20"/>
        </w:rPr>
      </w:pPr>
      <w:r>
        <w:rPr>
          <w:rFonts w:ascii="Times New Roman" w:hAnsi="Times New Roman"/>
          <w:sz w:val="20"/>
        </w:rPr>
        <w:t xml:space="preserve">With Wise Account and Wise Business, people and businesses can hold 40+ currencies, move money between countries and spend money abroad. Large companies and banks use Wise technology too; an entirely new network for the world’s money. </w:t>
      </w:r>
    </w:p>
    <w:p>
      <w:pPr>
        <w:pStyle w:val="TextBody"/>
        <w:bidi w:val="0"/>
        <w:spacing w:before="240" w:after="0"/>
        <w:jc w:val="left"/>
        <w:rPr>
          <w:rFonts w:ascii="Times New Roman" w:hAnsi="Times New Roman"/>
          <w:sz w:val="20"/>
        </w:rPr>
      </w:pPr>
      <w:r>
        <w:rPr>
          <w:rFonts w:ascii="Times New Roman" w:hAnsi="Times New Roman"/>
          <w:sz w:val="20"/>
        </w:rPr>
        <w:t xml:space="preserve">In fiscal year 2026, Wise supported around 19 million people and businesses, processing over $240 billion in cross-border transactions and saving customers over $3 billion. </w:t>
      </w:r>
    </w:p>
    <w:p>
      <w:pPr>
        <w:pStyle w:val="TextBody"/>
        <w:bidi w:val="0"/>
        <w:spacing w:before="0" w:after="0"/>
        <w:jc w:val="right"/>
        <w:rPr>
          <w:rFonts w:ascii="Times New Roman" w:hAnsi="Times New Roman"/>
          <w:b/>
          <w:sz w:val="20"/>
        </w:rPr>
      </w:pPr>
      <w:bookmarkStart w:id="4" w:name="d131426dex992.htm"/>
      <w:bookmarkStart w:id="5" w:name="ksd131426dex992"/>
      <w:bookmarkEnd w:id="4"/>
      <w:bookmarkEnd w:id="5"/>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Wise Group plc </w:t>
      </w:r>
    </w:p>
    <w:p>
      <w:pPr>
        <w:pStyle w:val="TextBody"/>
        <w:bidi w:val="0"/>
        <w:spacing w:before="120" w:after="0"/>
        <w:jc w:val="center"/>
        <w:rPr>
          <w:rFonts w:ascii="Times New Roman" w:hAnsi="Times New Roman"/>
          <w:b/>
          <w:sz w:val="20"/>
        </w:rPr>
      </w:pPr>
      <w:r>
        <w:rPr>
          <w:rFonts w:ascii="Times New Roman" w:hAnsi="Times New Roman"/>
          <w:b/>
          <w:sz w:val="20"/>
        </w:rPr>
        <w:t xml:space="preserve">Transaction in Own Shares </w:t>
      </w:r>
    </w:p>
    <w:p>
      <w:pPr>
        <w:pStyle w:val="TextBody"/>
        <w:bidi w:val="0"/>
        <w:spacing w:before="240" w:after="0"/>
        <w:jc w:val="left"/>
        <w:rPr>
          <w:rFonts w:ascii="Times New Roman" w:hAnsi="Times New Roman"/>
          <w:sz w:val="20"/>
        </w:rPr>
      </w:pPr>
      <w:r>
        <w:rPr>
          <w:rFonts w:ascii="Times New Roman" w:hAnsi="Times New Roman"/>
          <w:sz w:val="20"/>
        </w:rPr>
        <w:t xml:space="preserve">Wise Group plc (the “Company”) announces that from 27 July 2026 up to and including 31 July 2026 it repurchased a total of (i) 523,584 of its Class A ordinary shares on Nasdaq and/or other applicable US trading venues and (ii) 668,827 of its Class A ordinary shares on the London Stock Exchange and other in both cases through Goldman Sachs International or one of its affiliates, as detailed below. </w:t>
      </w:r>
    </w:p>
    <w:p>
      <w:pPr>
        <w:pStyle w:val="TextBody"/>
        <w:bidi w:val="0"/>
        <w:spacing w:before="240" w:after="0"/>
        <w:jc w:val="left"/>
        <w:rPr>
          <w:rFonts w:ascii="Times New Roman" w:hAnsi="Times New Roman"/>
          <w:sz w:val="20"/>
        </w:rPr>
      </w:pPr>
      <w:r>
        <w:rPr>
          <w:rFonts w:ascii="Times New Roman" w:hAnsi="Times New Roman"/>
          <w:sz w:val="20"/>
        </w:rPr>
        <w:t xml:space="preserve">The repurchased Class A ordinary shares will be held in treasury.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3"/>
        <w:gridCol w:w="120"/>
        <w:gridCol w:w="1502"/>
        <w:gridCol w:w="120"/>
        <w:gridCol w:w="1502"/>
        <w:gridCol w:w="120"/>
        <w:gridCol w:w="1581"/>
        <w:gridCol w:w="120"/>
        <w:gridCol w:w="1580"/>
        <w:gridCol w:w="120"/>
        <w:gridCol w:w="1507"/>
      </w:tblGrid>
      <w:tr>
        <w:trPr/>
        <w:tc>
          <w:tcPr>
            <w:tcW w:w="19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19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15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Aggregate number</w:t>
              <w:br/>
              <w:t>of Class A ordinary</w:t>
              <w:br/>
              <w:t>shares purchased</w:t>
            </w:r>
          </w:p>
        </w:tc>
        <w:tc>
          <w:tcPr>
            <w:tcW w:w="120" w:type="dxa"/>
            <w:tcBorders/>
            <w:vAlign w:val="bottom"/>
          </w:tcPr>
          <w:p>
            <w:pPr>
              <w:pStyle w:val="TableContents"/>
              <w:bidi w:val="0"/>
              <w:spacing w:before="0" w:after="283"/>
              <w:jc w:val="left"/>
              <w:rPr/>
            </w:pPr>
            <w:r>
              <w:rPr/>
              <w:t>  </w:t>
            </w:r>
          </w:p>
        </w:tc>
        <w:tc>
          <w:tcPr>
            <w:tcW w:w="15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Volume weighted</w:t>
              <w:br/>
              <w:t>average price paid</w:t>
              <w:br/>
              <w:t>per share</w:t>
            </w:r>
          </w:p>
        </w:tc>
        <w:tc>
          <w:tcPr>
            <w:tcW w:w="120" w:type="dxa"/>
            <w:tcBorders/>
            <w:vAlign w:val="bottom"/>
          </w:tcPr>
          <w:p>
            <w:pPr>
              <w:pStyle w:val="TableContents"/>
              <w:bidi w:val="0"/>
              <w:spacing w:before="0" w:after="283"/>
              <w:jc w:val="left"/>
              <w:rPr/>
            </w:pPr>
            <w:r>
              <w:rPr/>
              <w:t>  </w:t>
            </w:r>
          </w:p>
        </w:tc>
        <w:tc>
          <w:tcPr>
            <w:tcW w:w="15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Highest price</w:t>
              <w:br/>
              <w:t>paid per share</w:t>
            </w:r>
          </w:p>
        </w:tc>
        <w:tc>
          <w:tcPr>
            <w:tcW w:w="120" w:type="dxa"/>
            <w:tcBorders/>
            <w:vAlign w:val="bottom"/>
          </w:tcPr>
          <w:p>
            <w:pPr>
              <w:pStyle w:val="TableContents"/>
              <w:bidi w:val="0"/>
              <w:spacing w:before="0" w:after="283"/>
              <w:jc w:val="left"/>
              <w:rPr/>
            </w:pPr>
            <w:r>
              <w:rPr/>
              <w:t>  </w:t>
            </w:r>
          </w:p>
        </w:tc>
        <w:tc>
          <w:tcPr>
            <w:tcW w:w="15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Lowest price</w:t>
              <w:br/>
              <w:t>paid per share</w:t>
            </w:r>
          </w:p>
        </w:tc>
        <w:tc>
          <w:tcPr>
            <w:tcW w:w="120" w:type="dxa"/>
            <w:tcBorders/>
            <w:vAlign w:val="bottom"/>
          </w:tcPr>
          <w:p>
            <w:pPr>
              <w:pStyle w:val="TableContents"/>
              <w:bidi w:val="0"/>
              <w:spacing w:before="0" w:after="283"/>
              <w:jc w:val="left"/>
              <w:rPr/>
            </w:pPr>
            <w:r>
              <w:rPr/>
              <w:t>  </w:t>
            </w:r>
          </w:p>
        </w:tc>
        <w:tc>
          <w:tcPr>
            <w:tcW w:w="15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 venue</w:t>
            </w:r>
          </w:p>
        </w:tc>
      </w:tr>
      <w:tr>
        <w:trPr/>
        <w:tc>
          <w:tcPr>
            <w:tcW w:w="1933" w:type="dxa"/>
            <w:tcBorders/>
          </w:tcPr>
          <w:p>
            <w:pPr>
              <w:pStyle w:val="TableContents"/>
              <w:bidi w:val="0"/>
              <w:spacing w:before="0" w:after="283"/>
              <w:jc w:val="left"/>
              <w:rPr/>
            </w:pPr>
            <w:r>
              <w:rPr/>
              <w:t>2026-07-27</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174,349</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GBP 8.8101</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GBP 8.8940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GBP 8.5720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XLON</w:t>
            </w:r>
          </w:p>
        </w:tc>
      </w:tr>
      <w:tr>
        <w:trPr/>
        <w:tc>
          <w:tcPr>
            <w:tcW w:w="1933" w:type="dxa"/>
            <w:tcBorders/>
          </w:tcPr>
          <w:p>
            <w:pPr>
              <w:pStyle w:val="TableContents"/>
              <w:bidi w:val="0"/>
              <w:spacing w:before="0" w:after="283"/>
              <w:jc w:val="left"/>
              <w:rPr/>
            </w:pPr>
            <w:r>
              <w:rPr/>
              <w:t>2026-07-27</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100,000</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USD 11.8201</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USD 11.9100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USD 11.7000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NASDAQ</w:t>
            </w:r>
          </w:p>
        </w:tc>
      </w:tr>
      <w:tr>
        <w:trPr/>
        <w:tc>
          <w:tcPr>
            <w:tcW w:w="1933" w:type="dxa"/>
            <w:tcBorders/>
          </w:tcPr>
          <w:p>
            <w:pPr>
              <w:pStyle w:val="TableContents"/>
              <w:bidi w:val="0"/>
              <w:spacing w:before="0" w:after="283"/>
              <w:jc w:val="left"/>
              <w:rPr/>
            </w:pPr>
            <w:r>
              <w:rPr/>
              <w:t>2026-07-28</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133,551</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GBP 8.9335</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GBP 9.0460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GBP 8.8580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XLON</w:t>
            </w:r>
          </w:p>
        </w:tc>
      </w:tr>
      <w:tr>
        <w:trPr/>
        <w:tc>
          <w:tcPr>
            <w:tcW w:w="1933" w:type="dxa"/>
            <w:tcBorders/>
          </w:tcPr>
          <w:p>
            <w:pPr>
              <w:pStyle w:val="TableContents"/>
              <w:bidi w:val="0"/>
              <w:spacing w:before="0" w:after="283"/>
              <w:jc w:val="left"/>
              <w:rPr/>
            </w:pPr>
            <w:r>
              <w:rPr/>
              <w:t>2026-07-28</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100,000</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USD 11.8822</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USD 12.0400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USD 11.8000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NASDAQ</w:t>
            </w:r>
          </w:p>
        </w:tc>
      </w:tr>
      <w:tr>
        <w:trPr/>
        <w:tc>
          <w:tcPr>
            <w:tcW w:w="1933" w:type="dxa"/>
            <w:tcBorders/>
          </w:tcPr>
          <w:p>
            <w:pPr>
              <w:pStyle w:val="TableContents"/>
              <w:bidi w:val="0"/>
              <w:spacing w:before="0" w:after="283"/>
              <w:jc w:val="left"/>
              <w:rPr/>
            </w:pPr>
            <w:r>
              <w:rPr/>
              <w:t>2026-07-29</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52,545</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GBP 8.9675</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GBP 9.0560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GBP 8.9100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XLON</w:t>
            </w:r>
          </w:p>
        </w:tc>
      </w:tr>
      <w:tr>
        <w:trPr/>
        <w:tc>
          <w:tcPr>
            <w:tcW w:w="1933" w:type="dxa"/>
            <w:tcBorders/>
          </w:tcPr>
          <w:p>
            <w:pPr>
              <w:pStyle w:val="TableContents"/>
              <w:bidi w:val="0"/>
              <w:spacing w:before="0" w:after="283"/>
              <w:jc w:val="left"/>
              <w:rPr/>
            </w:pPr>
            <w:r>
              <w:rPr/>
              <w:t>2026-07-29</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100,000</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USD 11.9182</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USD 12.0500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USD 11.8200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NASDAQ</w:t>
            </w:r>
          </w:p>
        </w:tc>
      </w:tr>
      <w:tr>
        <w:trPr/>
        <w:tc>
          <w:tcPr>
            <w:tcW w:w="1933" w:type="dxa"/>
            <w:tcBorders/>
          </w:tcPr>
          <w:p>
            <w:pPr>
              <w:pStyle w:val="TableContents"/>
              <w:bidi w:val="0"/>
              <w:spacing w:before="0" w:after="283"/>
              <w:jc w:val="left"/>
              <w:rPr/>
            </w:pPr>
            <w:r>
              <w:rPr/>
              <w:t>2026-07-30</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71,973</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GBP 8.9449</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GBP 9.0060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GBP 8.8860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XLON</w:t>
            </w:r>
          </w:p>
        </w:tc>
      </w:tr>
      <w:tr>
        <w:trPr/>
        <w:tc>
          <w:tcPr>
            <w:tcW w:w="1933" w:type="dxa"/>
            <w:tcBorders/>
          </w:tcPr>
          <w:p>
            <w:pPr>
              <w:pStyle w:val="TableContents"/>
              <w:bidi w:val="0"/>
              <w:spacing w:before="0" w:after="283"/>
              <w:jc w:val="left"/>
              <w:rPr/>
            </w:pPr>
            <w:r>
              <w:rPr/>
              <w:t>2026-07-30</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100,000</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USD 12.0125</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USD 12.1000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USD 11.9300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NASDAQ</w:t>
            </w:r>
          </w:p>
        </w:tc>
      </w:tr>
      <w:tr>
        <w:trPr/>
        <w:tc>
          <w:tcPr>
            <w:tcW w:w="1933" w:type="dxa"/>
            <w:tcBorders/>
          </w:tcPr>
          <w:p>
            <w:pPr>
              <w:pStyle w:val="TableContents"/>
              <w:bidi w:val="0"/>
              <w:spacing w:before="0" w:after="283"/>
              <w:jc w:val="left"/>
              <w:rPr/>
            </w:pPr>
            <w:r>
              <w:rPr/>
              <w:t>2026-07-31</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132,215</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GBP 9.0075</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GBP 9.1080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GBP 8.8600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XLON</w:t>
            </w:r>
          </w:p>
        </w:tc>
      </w:tr>
      <w:tr>
        <w:trPr/>
        <w:tc>
          <w:tcPr>
            <w:tcW w:w="1933" w:type="dxa"/>
            <w:tcBorders/>
          </w:tcPr>
          <w:p>
            <w:pPr>
              <w:pStyle w:val="TableContents"/>
              <w:bidi w:val="0"/>
              <w:spacing w:before="0" w:after="283"/>
              <w:jc w:val="left"/>
              <w:rPr/>
            </w:pPr>
            <w:r>
              <w:rPr/>
              <w:t>2026-07-31</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104,194</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GBP 9.0026</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GBP 9.1080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GBP 8.8580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CHIX</w:t>
            </w:r>
          </w:p>
        </w:tc>
      </w:tr>
      <w:tr>
        <w:trPr/>
        <w:tc>
          <w:tcPr>
            <w:tcW w:w="1933" w:type="dxa"/>
            <w:tcBorders/>
          </w:tcPr>
          <w:p>
            <w:pPr>
              <w:pStyle w:val="TableContents"/>
              <w:bidi w:val="0"/>
              <w:spacing w:before="0" w:after="283"/>
              <w:jc w:val="left"/>
              <w:rPr/>
            </w:pPr>
            <w:r>
              <w:rPr/>
              <w:t>2026-07-31</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123,584</w:t>
            </w:r>
          </w:p>
        </w:tc>
        <w:tc>
          <w:tcPr>
            <w:tcW w:w="120" w:type="dxa"/>
            <w:tcBorders/>
            <w:vAlign w:val="bottom"/>
          </w:tcPr>
          <w:p>
            <w:pPr>
              <w:pStyle w:val="TableContents"/>
              <w:bidi w:val="0"/>
              <w:spacing w:before="0" w:after="283"/>
              <w:jc w:val="left"/>
              <w:rPr/>
            </w:pPr>
            <w:r>
              <w:rPr/>
              <w:t>  </w:t>
            </w:r>
          </w:p>
        </w:tc>
        <w:tc>
          <w:tcPr>
            <w:tcW w:w="1502" w:type="dxa"/>
            <w:tcBorders/>
          </w:tcPr>
          <w:p>
            <w:pPr>
              <w:pStyle w:val="TableContents"/>
              <w:bidi w:val="0"/>
              <w:spacing w:before="0" w:after="283"/>
              <w:jc w:val="center"/>
              <w:rPr/>
            </w:pPr>
            <w:r>
              <w:rPr/>
              <w:t>USD 12.0074</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USD 12.1800</w:t>
            </w:r>
          </w:p>
        </w:tc>
        <w:tc>
          <w:tcPr>
            <w:tcW w:w="12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center"/>
              <w:rPr/>
            </w:pPr>
            <w:r>
              <w:rPr/>
              <w:t>USD 11.9100</w:t>
            </w:r>
          </w:p>
        </w:tc>
        <w:tc>
          <w:tcPr>
            <w:tcW w:w="120"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repurchases form part of the Company’s share buyback program announced on July 21, 2026 (the “Buyback”). In connection with the Buyback, the Company expects to repurchase up to £405 million (approximately $540 million) of its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 </w:t>
      </w:r>
    </w:p>
    <w:p>
      <w:pPr>
        <w:pStyle w:val="TextBody"/>
        <w:bidi w:val="0"/>
        <w:spacing w:before="240" w:after="0"/>
        <w:jc w:val="left"/>
        <w:rPr>
          <w:rFonts w:ascii="Times New Roman" w:hAnsi="Times New Roman"/>
          <w:sz w:val="20"/>
        </w:rPr>
      </w:pPr>
      <w:r>
        <w:rPr>
          <w:rFonts w:ascii="Times New Roman" w:hAnsi="Times New Roman"/>
          <w:sz w:val="20"/>
        </w:rPr>
        <w:t xml:space="preserve">http://www.rns-pdf.londonstockexchange.com/rns/0892P_1-2026-8-3.pdf </w:t>
      </w:r>
    </w:p>
    <w:p>
      <w:pPr>
        <w:pStyle w:val="TextBody"/>
        <w:bidi w:val="0"/>
        <w:spacing w:before="360" w:after="0"/>
        <w:jc w:val="left"/>
        <w:rPr>
          <w:rFonts w:ascii="Times New Roman" w:hAnsi="Times New Roman"/>
          <w:b/>
          <w:sz w:val="20"/>
        </w:rPr>
      </w:pPr>
      <w:r>
        <w:rPr>
          <w:rFonts w:ascii="Times New Roman" w:hAnsi="Times New Roman"/>
          <w:b/>
          <w:sz w:val="20"/>
        </w:rPr>
        <w:t xml:space="preserve">Enquiries </w:t>
      </w:r>
    </w:p>
    <w:p>
      <w:pPr>
        <w:pStyle w:val="TextBody"/>
        <w:bidi w:val="0"/>
        <w:spacing w:before="120" w:after="0"/>
        <w:jc w:val="left"/>
        <w:rPr>
          <w:rFonts w:ascii="Times New Roman" w:hAnsi="Times New Roman"/>
          <w:sz w:val="20"/>
        </w:rPr>
      </w:pPr>
      <w:r>
        <w:rPr>
          <w:rFonts w:ascii="Times New Roman" w:hAnsi="Times New Roman"/>
          <w:sz w:val="20"/>
        </w:rPr>
        <w:t xml:space="preserve">Martin Adams - Investor Relations </w:t>
      </w:r>
    </w:p>
    <w:p>
      <w:pPr>
        <w:pStyle w:val="TextBody"/>
        <w:bidi w:val="0"/>
        <w:spacing w:before="0" w:after="0"/>
        <w:jc w:val="left"/>
        <w:rPr>
          <w:rFonts w:ascii="Times New Roman" w:hAnsi="Times New Roman"/>
          <w:sz w:val="20"/>
        </w:rPr>
      </w:pPr>
      <w:r>
        <w:rPr>
          <w:rFonts w:ascii="Times New Roman" w:hAnsi="Times New Roman"/>
          <w:sz w:val="20"/>
          <w:u w:val="single"/>
        </w:rPr>
        <w:t>owners@wise.com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Sana Rahman - Communications </w:t>
      </w:r>
    </w:p>
    <w:p>
      <w:pPr>
        <w:pStyle w:val="TextBody"/>
        <w:bidi w:val="0"/>
        <w:spacing w:before="0" w:after="0"/>
        <w:jc w:val="left"/>
        <w:rPr>
          <w:rFonts w:ascii="Times New Roman" w:hAnsi="Times New Roman"/>
          <w:sz w:val="20"/>
        </w:rPr>
      </w:pPr>
      <w:r>
        <w:rPr>
          <w:rFonts w:ascii="Times New Roman" w:hAnsi="Times New Roman"/>
          <w:sz w:val="20"/>
          <w:u w:val="single"/>
        </w:rPr>
        <w:t>press@wise.com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Brunswick Group </w:t>
      </w:r>
    </w:p>
    <w:p>
      <w:pPr>
        <w:pStyle w:val="TextBody"/>
        <w:bidi w:val="0"/>
        <w:spacing w:before="0" w:after="0"/>
        <w:jc w:val="left"/>
        <w:rPr>
          <w:rFonts w:ascii="Times New Roman" w:hAnsi="Times New Roman"/>
          <w:sz w:val="20"/>
        </w:rPr>
      </w:pPr>
      <w:r>
        <w:rPr>
          <w:rFonts w:ascii="Times New Roman" w:hAnsi="Times New Roman"/>
          <w:sz w:val="20"/>
        </w:rPr>
        <w:t xml:space="preserve">Charles Pretzlik / Emily Murphy </w:t>
      </w:r>
    </w:p>
    <w:p>
      <w:pPr>
        <w:pStyle w:val="TextBody"/>
        <w:bidi w:val="0"/>
        <w:spacing w:before="0" w:after="0"/>
        <w:jc w:val="left"/>
        <w:rPr>
          <w:rFonts w:ascii="Times New Roman" w:hAnsi="Times New Roman"/>
          <w:sz w:val="20"/>
        </w:rPr>
      </w:pPr>
      <w:r>
        <w:rPr>
          <w:rFonts w:ascii="Times New Roman" w:hAnsi="Times New Roman"/>
          <w:sz w:val="20"/>
          <w:u w:val="single"/>
        </w:rPr>
        <w:t>Wise@brunswickgroup.com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+44 (0) 20 7404 5959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Wise </w:t>
      </w:r>
    </w:p>
    <w:p>
      <w:pPr>
        <w:pStyle w:val="TextBody"/>
        <w:bidi w:val="0"/>
        <w:spacing w:before="120" w:after="0"/>
        <w:jc w:val="left"/>
        <w:rPr>
          <w:rFonts w:ascii="Times New Roman" w:hAnsi="Times New Roman"/>
          <w:sz w:val="20"/>
        </w:rPr>
      </w:pPr>
      <w:r>
        <w:rPr>
          <w:rFonts w:ascii="Times New Roman" w:hAnsi="Times New Roman"/>
          <w:sz w:val="20"/>
        </w:rPr>
        <w:t xml:space="preserve">Wise is a global technology company, building the best way to move and manage the world’s money. </w:t>
      </w:r>
    </w:p>
    <w:p>
      <w:pPr>
        <w:pStyle w:val="TextBody"/>
        <w:bidi w:val="0"/>
        <w:spacing w:before="240" w:after="0"/>
        <w:jc w:val="left"/>
        <w:rPr>
          <w:rFonts w:ascii="Times New Roman" w:hAnsi="Times New Roman"/>
          <w:sz w:val="20"/>
        </w:rPr>
      </w:pPr>
      <w:r>
        <w:rPr>
          <w:rFonts w:ascii="Times New Roman" w:hAnsi="Times New Roman"/>
          <w:sz w:val="20"/>
        </w:rPr>
        <w:t xml:space="preserve">With Wise Account and Wise Business, people and businesses can hold 40+ currencies, move money between countries and spend money abroad. Large companies and banks use Wise technology too; an entirely new network for the world’s money. </w:t>
      </w:r>
    </w:p>
    <w:p>
      <w:pPr>
        <w:pStyle w:val="TextBody"/>
        <w:bidi w:val="0"/>
        <w:spacing w:before="240" w:after="0"/>
        <w:jc w:val="left"/>
        <w:rPr>
          <w:rFonts w:ascii="Times New Roman" w:hAnsi="Times New Roman"/>
          <w:sz w:val="20"/>
        </w:rPr>
      </w:pPr>
      <w:r>
        <w:rPr>
          <w:rFonts w:ascii="Times New Roman" w:hAnsi="Times New Roman"/>
          <w:sz w:val="20"/>
        </w:rPr>
        <w:t xml:space="preserve">In fiscal year 2026, Wise supported around 19 million people and businesses, processing over $240 billion in cross-border transactions and saving customers over $3 billion.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1055</Words>
  <Characters>5784</Characters>
  <CharactersWithSpaces>6951</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