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145ds8.htm"/>
        <w:bookmarkStart w:id="1" w:name="ksd28145ds8"/>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United States Securities and Exchange Commission on July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Wise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Jersey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N/A</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1st Floor, Worship Square </w:t>
      </w:r>
    </w:p>
    <w:p>
      <w:pPr>
        <w:pStyle w:val="TextBody"/>
        <w:bidi w:val="0"/>
        <w:spacing w:before="0" w:after="0"/>
        <w:jc w:val="center"/>
        <w:rPr>
          <w:rFonts w:ascii="Times New Roman" w:hAnsi="Times New Roman"/>
          <w:b/>
          <w:sz w:val="20"/>
        </w:rPr>
      </w:pPr>
      <w:r>
        <w:rPr>
          <w:rFonts w:ascii="Times New Roman" w:hAnsi="Times New Roman"/>
          <w:b/>
          <w:sz w:val="20"/>
        </w:rPr>
        <w:t xml:space="preserve">65 Clifton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EC2A 4JE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160" w:after="0"/>
        <w:jc w:val="center"/>
        <w:rPr>
          <w:rFonts w:ascii="Times New Roman" w:hAnsi="Times New Roman"/>
          <w:b/>
          <w:sz w:val="20"/>
        </w:rPr>
      </w:pPr>
      <w:r>
        <w:rPr>
          <w:rFonts w:ascii="Times New Roman" w:hAnsi="Times New Roman"/>
          <w:b/>
          <w:sz w:val="20"/>
        </w:rPr>
        <w:t xml:space="preserve">Rules of the TransferWise 2021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160" w:after="0"/>
        <w:jc w:val="center"/>
        <w:rPr>
          <w:rFonts w:ascii="Times New Roman" w:hAnsi="Times New Roman"/>
          <w:b/>
          <w:sz w:val="20"/>
        </w:rPr>
      </w:pPr>
      <w:r>
        <w:rPr>
          <w:rFonts w:ascii="Times New Roman" w:hAnsi="Times New Roman"/>
          <w:b/>
          <w:sz w:val="20"/>
        </w:rPr>
        <w:t xml:space="preserve">Wise US, Inc. </w:t>
      </w:r>
    </w:p>
    <w:p>
      <w:pPr>
        <w:pStyle w:val="TextBody"/>
        <w:bidi w:val="0"/>
        <w:spacing w:before="0" w:after="0"/>
        <w:jc w:val="center"/>
        <w:rPr>
          <w:rFonts w:ascii="Times New Roman" w:hAnsi="Times New Roman"/>
          <w:b/>
          <w:sz w:val="20"/>
        </w:rPr>
      </w:pPr>
      <w:r>
        <w:rPr>
          <w:rFonts w:ascii="Times New Roman" w:hAnsi="Times New Roman"/>
          <w:b/>
          <w:sz w:val="20"/>
        </w:rPr>
        <w:t xml:space="preserve">30 W. 26th St, Sixth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10010 </w:t>
      </w:r>
    </w:p>
    <w:p>
      <w:pPr>
        <w:pStyle w:val="TextBody"/>
        <w:bidi w:val="0"/>
        <w:spacing w:before="0" w:after="0"/>
        <w:jc w:val="center"/>
        <w:rPr>
          <w:rFonts w:ascii="Times New Roman" w:hAnsi="Times New Roman"/>
          <w:b/>
          <w:sz w:val="20"/>
        </w:rPr>
      </w:pPr>
      <w:r>
        <w:rPr>
          <w:rFonts w:ascii="Times New Roman" w:hAnsi="Times New Roman"/>
          <w:b/>
          <w:sz w:val="20"/>
        </w:rPr>
        <w:t xml:space="preserve">+1 (844) 926-4380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160" w:after="0"/>
        <w:jc w:val="center"/>
        <w:rPr>
          <w:rFonts w:ascii="Times New Roman" w:hAnsi="Times New Roman"/>
          <w:b/>
          <w:sz w:val="20"/>
        </w:rPr>
      </w:pPr>
      <w:r>
        <w:rPr>
          <w:rFonts w:ascii="Times New Roman" w:hAnsi="Times New Roman"/>
          <w:b/>
          <w:sz w:val="20"/>
        </w:rPr>
        <w:t xml:space="preserve">Kristo Käärmann </w:t>
      </w:r>
    </w:p>
    <w:p>
      <w:pPr>
        <w:pStyle w:val="TextBody"/>
        <w:bidi w:val="0"/>
        <w:spacing w:before="0" w:after="0"/>
        <w:jc w:val="center"/>
        <w:rPr>
          <w:rFonts w:ascii="Times New Roman" w:hAnsi="Times New Roman"/>
          <w:b/>
          <w:sz w:val="20"/>
        </w:rPr>
      </w:pPr>
      <w:r>
        <w:rPr>
          <w:rFonts w:ascii="Times New Roman" w:hAnsi="Times New Roman"/>
          <w:b/>
          <w:sz w:val="20"/>
        </w:rPr>
        <w:t xml:space="preserve">1st Floor, Worship Square </w:t>
      </w:r>
    </w:p>
    <w:p>
      <w:pPr>
        <w:pStyle w:val="TextBody"/>
        <w:bidi w:val="0"/>
        <w:spacing w:before="0" w:after="0"/>
        <w:jc w:val="center"/>
        <w:rPr>
          <w:rFonts w:ascii="Times New Roman" w:hAnsi="Times New Roman"/>
          <w:b/>
          <w:sz w:val="20"/>
        </w:rPr>
      </w:pPr>
      <w:r>
        <w:rPr>
          <w:rFonts w:ascii="Times New Roman" w:hAnsi="Times New Roman"/>
          <w:b/>
          <w:sz w:val="20"/>
        </w:rPr>
        <w:t xml:space="preserve">65 Clifton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EC2A 4JE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Tel: +1 888 501 4041 </w:t>
      </w:r>
    </w:p>
    <w:p>
      <w:pPr>
        <w:pStyle w:val="TextBody"/>
        <w:bidi w:val="0"/>
        <w:spacing w:before="0" w:after="0"/>
        <w:jc w:val="center"/>
        <w:rPr>
          <w:rFonts w:ascii="Times New Roman" w:hAnsi="Times New Roman"/>
          <w:b/>
          <w:sz w:val="20"/>
        </w:rPr>
      </w:pPr>
      <w:r>
        <w:rPr>
          <w:rFonts w:ascii="Times New Roman" w:hAnsi="Times New Roman"/>
          <w:b/>
          <w:sz w:val="20"/>
        </w:rPr>
        <w:t xml:space="preserve">Email: Owners@wise.com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a “reoffer prospectus” prepared in accordance with Part I of Form F-3 (in accordance with Instruction C of the General Instructions to Form S-8). This reoffer prospectus may be used for reoffers and resales on a continuous or delayed basis of some or all of those Class A ordinary shares, nominal value $0.01 per share (the “Shares”), of Wise Group plc, a public limited company under the laws of Jersey (“us”, “we” or the “Registrant”), referred to herein that constitute “control securities” or “restricted securities” within the meaning of the Securities Act of 1933, as amended (the “Securities Act”), and Instruction C of the General Instructions to Form S-8, by certain shareholders that are officers or other employees of the Registrant (the “Selling Shareholders”) for their own accounts.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sell any, all, or none of the Shares, and we do not know when or in what amount the Selling Shareholders may sell their Shares, if they were to sell any, hereunder following the effective date of this Registration Statement. As specified in General Instruction C of Form S-8, the amount of securities to be reoffered or resold under the reoffer prospectus by each Selling Shareholder and any other person with whom he or she is acting in concert for the purpose of selling the Registrant’s securities, may not exceed, during any three-month period, the amount specified in Rule 144(e) under the Securities Act.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REOFFER PROSPECTUS </w:t>
      </w:r>
    </w:p>
    <w:p>
      <w:pPr>
        <w:pStyle w:val="TextBody"/>
        <w:bidi w:val="0"/>
        <w:spacing w:before="0" w:after="0"/>
        <w:jc w:val="center"/>
        <w:rPr/>
      </w:pPr>
      <w:r>
        <w:rPr/>
        <w:drawing>
          <wp:inline distT="0" distB="0" distL="0" distR="0">
            <wp:extent cx="238125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09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Wise Group plc </w:t>
      </w:r>
    </w:p>
    <w:p>
      <w:pPr>
        <w:pStyle w:val="TextBody"/>
        <w:bidi w:val="0"/>
        <w:spacing w:before="240" w:after="0"/>
        <w:jc w:val="center"/>
        <w:rPr>
          <w:rFonts w:ascii="Times New Roman" w:hAnsi="Times New Roman"/>
          <w:b/>
          <w:sz w:val="36"/>
        </w:rPr>
      </w:pPr>
      <w:r>
        <w:rPr>
          <w:rFonts w:ascii="Times New Roman" w:hAnsi="Times New Roman"/>
          <w:b/>
          <w:sz w:val="36"/>
        </w:rPr>
        <w:t xml:space="preserve">1,797,631 Class A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1,797,631 Class A ordinary shares, nominal value $0.01 per share (the “Shares”), of Wise Group plc, a public limited company under the laws of Jersey, which Shares may be offered from time to time by certain shareholders that are our officers or other employees (the “Selling Shareholders”) for their own accounts. We will not receive any of the proceeds from the sale of Shares by the Selling Shareholders made hereunder. The Shares were or will be acquired by the Selling Shareholders pursuant to the Rules of the TransferWise 2021 Equity Incentive Plan (as amended and/or restated, the “2021 Plan”) or other “employee benefit plans” as such term is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sell the securities described in this prospectus in a number of different ways and at varying prices, including sales in the open market, sales in negotiated transactions and sales by a combination of these methods. The Selling Shareholders may sell any, all, or none of the Shares, and we do not know when or in what amount the Selling Shareholders may sell their Shares, if they were to sell any,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our Class A ordinary shares at the time of a sale, at prices relating to the market price over a period of time, or at prices negotiated with the buyers of shares. The Shares may be sold through underwriters or dealers which the Selling Shareholders may select. If underwriters or dealers are used to sell the Shares, we will name them and describe their compensation in a prospectus supplement. We provide more information about how the Selling Shareholders may sell their Shares in the section titled “Plan of Distribution.” The Selling Shareholders will bear all sales commissions and similar expenses. Any other expenses incurred by us in connection with the registration and offering that are not borne by the Selling Shareholders will be borne by us.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the closing price of our Class A ordinary shares, as reported on The Nasdaq Global Select Market, was $12.88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securities to be offered or resold under this reoffer prospectus by each Selling Shareholder or other person with whom he or she is acting in concert for the purpose of selling our securities, may not exceed, during any three month period, the amount specified in Rule 144(e) under the Securities Act. </w:t>
      </w:r>
    </w:p>
    <w:p>
      <w:pPr>
        <w:pStyle w:val="TextBody"/>
        <w:bidi w:val="0"/>
        <w:spacing w:before="240" w:after="0"/>
        <w:jc w:val="left"/>
        <w:rPr/>
      </w:pPr>
      <w:r>
        <w:rPr>
          <w:rFonts w:ascii="Times New Roman" w:hAnsi="Times New Roman"/>
          <w:b/>
          <w:sz w:val="24"/>
        </w:rPr>
        <w:t>Investing in our Class A ordinary shares involves a high degree of risk. Before buying any of our Class A ordinary shares, you should carefully read the discussion of the risks of investing in our Class A ordinary shares in the section titled “</w:t>
      </w:r>
      <w:hyperlink w:anchor="tx28145_2">
        <w:r>
          <w:rPr>
            <w:rStyle w:val="InternetLink"/>
            <w:rFonts w:ascii="Times New Roman" w:hAnsi="Times New Roman"/>
            <w:b/>
            <w:sz w:val="24"/>
          </w:rPr>
          <w:t>Risk Factors</w:t>
        </w:r>
      </w:hyperlink>
      <w:r>
        <w:rPr>
          <w:rFonts w:ascii="Times New Roman" w:hAnsi="Times New Roman"/>
          <w:b/>
          <w:sz w:val="24"/>
        </w:rPr>
        <w:t xml:space="preserve">” included or incorporated by reference into this prospectus on page 2.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(the “SEC”) may take the view that, under certain circumstances, the Selling Shareholders and any broker-dealers or agents that participate with the Selling Shareholders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1">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3">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4">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5">
              <w:r>
                <w:rPr>
                  <w:rStyle w:val="InternetLink"/>
                  <w:rFonts w:ascii="Times New Roman" w:hAnsi="Times New Roman"/>
                  <w:sz w:val="20"/>
                </w:rPr>
                <w:t>SELLING SHAREHOLDERS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6">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7">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8">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9">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28145_10">
              <w:r>
                <w:rPr>
                  <w:rStyle w:val="InternetLink"/>
                  <w:rFonts w:ascii="Times New Roman" w:hAnsi="Times New Roman"/>
                  <w:sz w:val="20"/>
                </w:rPr>
                <w:t>WHERE YOU CAN FIND 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Selling Shareholders has authorized anyone to provide you with any information or to make any representations other than those contained in this prospectus or in any accompanying prospectus supplement we have prepared. Neither we nor any of the Selling Shareholders takes any responsibility for, and can provide no assurance as to the reliability of, any other information that others may give you.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 </w:t>
      </w:r>
    </w:p>
    <w:p>
      <w:pPr>
        <w:pStyle w:val="TextBody"/>
        <w:bidi w:val="0"/>
        <w:spacing w:before="240" w:after="0"/>
        <w:jc w:val="left"/>
        <w:rPr/>
      </w:pPr>
      <w:r>
        <w:rPr/>
        <w:t>“</w:t>
      </w:r>
      <w:r>
        <w:rPr>
          <w:rFonts w:ascii="Times New Roman" w:hAnsi="Times New Roman"/>
          <w:sz w:val="20"/>
        </w:rPr>
        <w:t xml:space="preserve">Wise,” “Wise Business,” the Wise logo and our other registered or common law trademarks, trade names, or service marks appearing in this prospectus are the property of Wise Group plc or its affiliates. Other trademarks, trade names, and service marks used in this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to “we,” “us,” “our,” “our company,” “the Company,” and “Wise” refer to Wise Group plc and its consolidated subsidiaries.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28145_1"/>
      <w:bookmarkEnd w:id="3"/>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Fifteen years ago, we set out with a simple but visionary goal that became the mission for Wise: money without borders. It should not be more expensive or less convenient to use your money in another country. People and businesses should always know what each transaction actually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Guided by this mission, we started with the goal of fixing overseas transfers and went on to build an account for a truly borderless experience for people and businesses using their money. An increasing number of banks and online platforms now offer our products to their customers via Wise Platform.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power this borderless experience, we have built an innovative infrastructure for the world’s money—one that makes payments instant (in under 20 seconds), convenient, low-cost and transparent. In the year ended March 31, 2026, this infrastructure powered payments across more than 40 currencies, moved $243.5 billion across borders for 18.9 million people and businesses, and saved them approximately $3.3 billion along the way, based on our estimates of per transaction savings calculated by reference to publicly available foreign exchange rates and fees of alternative banks and payment providers. As of March 31, 2026, our customers’ holdings across their cash and Wise Assets balances equaled $39 billion, reflecting the trust we have built with our customers. This included $9.0 billion held with Wise Assets (i.e. assets under custody), an account feature that helps our customers earn a return on their money while ensuring it remains conveniently accessible.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just getting started.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market our services through three product offerings: Wise Account for personal customers, Wise Business for small and medium-sized businesses, and Wise Platform for banks, financial institutions and enterprises. We offer a range of services across all of our three product offerings. For example, both Wise Account and Wise Business customers utilize cross-border transaction services when they send money internationally or convert currencies.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Wise Account is our solution for individual customers to send, spend, hold and get paid in one or more currencies. One of the features of Wise Account is Wise Assets, an investment feature that allows eligible customers to elect to earn a return on their holdings by investing in certain assets, such as money market funds. Wise Business offers the main features of our Wise Account product offering along with business-specific functionalities designed to enable businesses to operate internationally, including managing their accounting and accounts payable and receivables. With Wise Platform, banks, financial institutions and enterprises can integrate into our global payment infrastructure, allowing these institutional partners to send and receive payments on behalf of their customers or embed our services into their platform.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legal and commercial name of our company is currently Wise Group plc. Wise Group plc was originally incorporated in June 2025 as a public limited company under the laws of Jersey registered number 160362. In connection with the completion of our listing on Nasdaq on May 11, 2026, Wise Group plc became the ultimate parent company of Wise Limited (previously named Wise plc) and its consolidated subsidiaries on May 8, 2026 by means of a Scheme of Arrangement pursuant to Part 26 of the U.K. Companies Act 2006. Wise Group plc is Jersey incorporated and is intended to be solely a U.K. tax resident.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1st Floor Worship Square, 65 Clifton Street, London EC2A 4JE, United Kingdom. Our agent for service of process in the United States is BizFilings, located at 525 Junction Road, Suite 5000, Madison, Wisconsin 53717 and the telephone number is (800) 981-7183. Our website address is </w:t>
      </w:r>
      <w:r>
        <w:rPr>
          <w:rFonts w:ascii="Times New Roman" w:hAnsi="Times New Roman"/>
          <w:i/>
          <w:sz w:val="20"/>
          <w:bdr w:val="single" w:sz="8" w:space="1" w:color="000000"/>
        </w:rPr>
        <w:t>www.wise.com</w:t>
      </w:r>
      <w:r>
        <w:rPr>
          <w:rFonts w:ascii="Times New Roman" w:hAnsi="Times New Roman"/>
          <w:sz w:val="20"/>
          <w:bdr w:val="single" w:sz="8" w:space="1" w:color="000000"/>
        </w:rPr>
        <w:t xml:space="preserve">. Information contained on, or accessible through, our website is not a part of this prospectus, and the inclusion of our website address in this prospectus is only as an inactive textual reference.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8145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Class A ordinary shares involves a high degree of risk. You should consider and read carefully all of the risks and uncertainties described in “Item 3.D. Key Information—Risk Factors” in our Annual Report on Form 20-F, filed with the SEC on June 25, 2026, which is incorporated by reference herein, and our subsequent reports filed with the SEC, together with the financial and other information contained or incorporated by reference in this prospectus. The occurrence of any of these risks or additional risks and uncertainties not presently known to us or that we currently believe to be immaterial could materially and adversely affect our business, financial condition or operating results. In such case, the market price of our Class A ordinary shares could decline, and you may lose some or all of your original investment. You should not interpret our disclosure of any of the following risks to imply that such risks have not already materialized.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28145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All statements contained or incorporated by reference in this prospectus other than statements of historical facts, including statements regarding our future financial condition or results of operations and financial condition, our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statements concerning the following: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contained in this prospectus and the documents incorporated by reference 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revenue, operating expenses and other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customers and successfully retain existing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trends, the size and growth rates of the markets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our products and our ability to increase adoption of our products, including customers’ changes in digital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investments in our business, including investments in our infrastructure, our anticipated capital expenditures and our estimates regarding our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adapt to technological change and industry trends and innovate solutions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scale, enhance and adapt our infrastructure, develop or acquire new products and services and bring them to market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and responsibly develop, deploy and integrate artificial intelligence and machine learning technologies, and to comply with evolving laws and regulations governing their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success of our marketing efforts and our ability to maintain and enhance our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strategies, including our ability to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our international operations and expansion into new jurisdictions, including our exposure to foreign currency 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addressable market opportunity for our products and services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key personnel and our ability to attract and retain highly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protect and enforce our intellectual property rights and any costs associated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applicable laws and regulations, including our ability to obtain and maintain required licenses, in the jurisdictions in which we currently and may in the future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regulatory developments in the jurisdictions in which we currently and may in the future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acquisition targets, consummate acquisitions and successfully integrate acquired businesses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unstable market and economic conditions, including as a result of actual or anticipated changes in interest and inflation rates and barriers to trade;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political instability, shifts in immigration patterns or policies, global travel, natural disasters, events of terrorism, wars and other global events on our business, industry and the global economy;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reliability, security and efficiency of our payments network, including the risk of service interruptions, outages or system failures.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or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and incorporated by reference herein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under “Item 3.D. Key Information—Risk Factors” in our Annual Report on Form 20-F, filed with the SEC on June 25, 2026,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or incorporated by reference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28145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the Shares. All proceeds from the sale of the Shares will be for the account of the Selling Shareholders, as described below. See the sections titled “Selling Shareholders” and “Plan of Distribution”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8145_5"/>
      <w:bookmarkEnd w:id="7"/>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beneficial ownership of our Class A ordinary shares as of June 29, 2026, as adjusted to reflect the Shares that may be sold from time to time pursuant to this prospectus, for all Selling Shareholders, consisting of the individuals shown as having shares listed in the column entitled “Number of Shares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Shares offered by the Selling Shareholders hereunder consist of an aggregate of 1,797,631 Class A ordinary shares to be acquired by certain of our shareholders that are executive officers and current and former employees upon the settlement of restricted share units issued under our 2021 Plan.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In computing the number of Class A ordinary shares beneficially owned by a person and the percentage ownership of that person, we deemed outstanding (i) Class A ordinary shares subject to options held by that person that are currently exercisable or exercisable within 60 days of June 29, 2026, and (ii) the Shares offered hereby that are issuable upon settlement of restricted share units vesting within 90 days of the effective date of our Registration Statement on Form 20-F, as amended (File No. 001-43229). We have based percentage ownership of our Class A ordinary shares prior to this offering on 1,025,164,562 Class A ordinary shares outstanding as of June 29, 2026, unless otherwise noted.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of each beneficial owner listed below is c/o Wise Group plc, 1st Floor Worship Square, 65 Clifton Street, London EC2A 4JE, United Kingdom.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02"/>
        <w:gridCol w:w="146"/>
        <w:gridCol w:w="120"/>
        <w:gridCol w:w="1960"/>
        <w:gridCol w:w="120"/>
        <w:gridCol w:w="263"/>
        <w:gridCol w:w="136"/>
        <w:gridCol w:w="319"/>
        <w:gridCol w:w="60"/>
        <w:gridCol w:w="146"/>
        <w:gridCol w:w="93"/>
        <w:gridCol w:w="1262"/>
        <w:gridCol w:w="60"/>
        <w:gridCol w:w="146"/>
        <w:gridCol w:w="108"/>
        <w:gridCol w:w="1777"/>
        <w:gridCol w:w="108"/>
        <w:gridCol w:w="241"/>
        <w:gridCol w:w="135"/>
        <w:gridCol w:w="320"/>
        <w:gridCol w:w="66"/>
      </w:tblGrid>
      <w:tr>
        <w:trPr/>
        <w:tc>
          <w:tcPr>
            <w:tcW w:w="180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02"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Shareholder</w:t>
            </w:r>
          </w:p>
        </w:tc>
        <w:tc>
          <w:tcPr>
            <w:tcW w:w="146" w:type="dxa"/>
            <w:tcBorders/>
            <w:vAlign w:val="bottom"/>
          </w:tcPr>
          <w:p>
            <w:pPr>
              <w:pStyle w:val="TableContents"/>
              <w:bidi w:val="0"/>
              <w:spacing w:before="0" w:after="283"/>
              <w:jc w:val="left"/>
              <w:rPr/>
            </w:pPr>
            <w:r>
              <w:rPr/>
              <w:t>  </w:t>
            </w:r>
          </w:p>
        </w:tc>
        <w:tc>
          <w:tcPr>
            <w:tcW w:w="29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Ordinary Shares</w:t>
              <w:br/>
              <w:t>Beneficially Owned Prior to</w:t>
              <w:br/>
              <w:t>This Offering</w:t>
            </w:r>
          </w:p>
        </w:tc>
        <w:tc>
          <w:tcPr>
            <w:tcW w:w="60" w:type="dxa"/>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Being</w:t>
              <w:br/>
              <w:t>Offered</w:t>
            </w:r>
          </w:p>
        </w:tc>
        <w:tc>
          <w:tcPr>
            <w:tcW w:w="60" w:type="dxa"/>
            <w:vMerge w:val="restart"/>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Ordinary Shares</w:t>
              <w:br/>
              <w:t>Beneficially Owned</w:t>
              <w:br/>
              <w:t>Following This Offering(1)</w:t>
            </w:r>
          </w:p>
        </w:tc>
        <w:tc>
          <w:tcPr>
            <w:tcW w:w="66" w:type="dxa"/>
            <w:tcBorders/>
            <w:vAlign w:val="bottom"/>
          </w:tcPr>
          <w:p>
            <w:pPr>
              <w:pStyle w:val="TableContents"/>
              <w:bidi w:val="0"/>
              <w:spacing w:before="0" w:after="283"/>
              <w:jc w:val="left"/>
              <w:rPr/>
            </w:pPr>
            <w:r>
              <w:rPr/>
              <w:t> </w:t>
            </w:r>
          </w:p>
        </w:tc>
      </w:tr>
      <w:tr>
        <w:trPr/>
        <w:tc>
          <w:tcPr>
            <w:tcW w:w="1802" w:type="dxa"/>
            <w:vMerge w:val="continue"/>
            <w:tcBorders/>
            <w:vAlign w:val="bottom"/>
          </w:tcPr>
          <w:p>
            <w:pPr>
              <w:pStyle w:val="Normal"/>
              <w:bidi w:val="0"/>
              <w:jc w:val="left"/>
              <w:rPr/>
            </w:pPr>
            <w:r>
              <w:rPr/>
            </w:r>
          </w:p>
        </w:tc>
        <w:tc>
          <w:tcPr>
            <w:tcW w:w="146" w:type="dxa"/>
            <w:tcBorders/>
            <w:vAlign w:val="bottom"/>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2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46" w:type="dxa"/>
            <w:vMerge w:val="continue"/>
            <w:tcBorders/>
            <w:vAlign w:val="bottom"/>
          </w:tcPr>
          <w:p>
            <w:pPr>
              <w:pStyle w:val="Normal"/>
              <w:bidi w:val="0"/>
              <w:jc w:val="left"/>
              <w:rPr/>
            </w:pPr>
            <w:r>
              <w:rPr/>
            </w:r>
          </w:p>
        </w:tc>
        <w:tc>
          <w:tcPr>
            <w:tcW w:w="135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6"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66" w:type="dxa"/>
            <w:tcBorders/>
            <w:vAlign w:val="bottom"/>
          </w:tcPr>
          <w:p>
            <w:pPr>
              <w:pStyle w:val="TableContents"/>
              <w:bidi w:val="0"/>
              <w:spacing w:before="0" w:after="283"/>
              <w:jc w:val="left"/>
              <w:rPr/>
            </w:pPr>
            <w:r>
              <w:rPr/>
              <w:t> </w:t>
            </w:r>
          </w:p>
        </w:tc>
      </w:tr>
      <w:tr>
        <w:trPr/>
        <w:tc>
          <w:tcPr>
            <w:tcW w:w="1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Nilan Peiris(3)</w:t>
            </w:r>
          </w:p>
        </w:tc>
        <w:tc>
          <w:tcPr>
            <w:tcW w:w="14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0" w:type="dxa"/>
            <w:tcBorders/>
            <w:shd w:fill="CCEEFF" w:val="clear"/>
            <w:vAlign w:val="bottom"/>
          </w:tcPr>
          <w:p>
            <w:pPr>
              <w:pStyle w:val="TableContents"/>
              <w:bidi w:val="0"/>
              <w:spacing w:before="0" w:after="283"/>
              <w:jc w:val="right"/>
              <w:rPr/>
            </w:pPr>
            <w:r>
              <w:rPr/>
              <w:t>3,284,746</w:t>
            </w:r>
          </w:p>
        </w:tc>
        <w:tc>
          <w:tcPr>
            <w:tcW w:w="12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105,240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3,179,506</w:t>
            </w:r>
          </w:p>
        </w:tc>
        <w:tc>
          <w:tcPr>
            <w:tcW w:w="1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1802" w:type="dxa"/>
            <w:tcBorders/>
          </w:tcPr>
          <w:p>
            <w:pPr>
              <w:pStyle w:val="TableContents"/>
              <w:bidi w:val="0"/>
              <w:spacing w:before="0" w:after="0"/>
              <w:jc w:val="left"/>
              <w:rPr>
                <w:rFonts w:ascii="Times New Roman" w:hAnsi="Times New Roman"/>
                <w:sz w:val="20"/>
              </w:rPr>
            </w:pPr>
            <w:r>
              <w:rPr>
                <w:rFonts w:ascii="Times New Roman" w:hAnsi="Times New Roman"/>
                <w:sz w:val="20"/>
              </w:rPr>
              <w:t>Harsh Sinha(4)</w:t>
            </w:r>
          </w:p>
        </w:tc>
        <w:tc>
          <w:tcPr>
            <w:tcW w:w="14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right"/>
              <w:rPr/>
            </w:pPr>
            <w:r>
              <w:rPr/>
              <w:t>1,728,615</w:t>
            </w:r>
          </w:p>
        </w:tc>
        <w:tc>
          <w:tcPr>
            <w:tcW w:w="12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105,240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1,623,375</w:t>
            </w:r>
          </w:p>
        </w:tc>
        <w:tc>
          <w:tcPr>
            <w:tcW w:w="1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1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Named Selling Shareholders</w:t>
            </w:r>
            <w:r>
              <w:rPr>
                <w:rFonts w:ascii="Times New Roman" w:hAnsi="Times New Roman"/>
                <w:b/>
                <w:sz w:val="20"/>
              </w:rPr>
              <w:t>(5)</w:t>
            </w:r>
          </w:p>
        </w:tc>
        <w:tc>
          <w:tcPr>
            <w:tcW w:w="14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0" w:type="dxa"/>
            <w:tcBorders/>
            <w:shd w:fill="CCEEFF" w:val="clear"/>
            <w:vAlign w:val="bottom"/>
          </w:tcPr>
          <w:p>
            <w:pPr>
              <w:pStyle w:val="TableContents"/>
              <w:bidi w:val="0"/>
              <w:spacing w:before="0" w:after="283"/>
              <w:jc w:val="right"/>
              <w:rPr/>
            </w:pPr>
            <w:r>
              <w:rPr/>
              <w:t>5,847,023</w:t>
            </w:r>
          </w:p>
        </w:tc>
        <w:tc>
          <w:tcPr>
            <w:tcW w:w="12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624,320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5,222,703</w:t>
            </w:r>
          </w:p>
        </w:tc>
        <w:tc>
          <w:tcPr>
            <w:tcW w:w="1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1802" w:type="dxa"/>
            <w:tcBorders/>
          </w:tcPr>
          <w:p>
            <w:pPr>
              <w:pStyle w:val="TableContents"/>
              <w:bidi w:val="0"/>
              <w:spacing w:before="0" w:after="0"/>
              <w:jc w:val="left"/>
              <w:rPr>
                <w:rFonts w:ascii="Times New Roman" w:hAnsi="Times New Roman"/>
                <w:sz w:val="20"/>
              </w:rPr>
            </w:pPr>
            <w:r>
              <w:rPr>
                <w:rFonts w:ascii="Times New Roman" w:hAnsi="Times New Roman"/>
                <w:sz w:val="20"/>
              </w:rPr>
              <w:t>Other Selling Shareholders</w:t>
            </w:r>
            <w:r>
              <w:rPr>
                <w:rFonts w:ascii="Times New Roman" w:hAnsi="Times New Roman"/>
                <w:b/>
                <w:sz w:val="20"/>
              </w:rPr>
              <w:t>(6)</w:t>
            </w:r>
          </w:p>
        </w:tc>
        <w:tc>
          <w:tcPr>
            <w:tcW w:w="14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0" w:type="dxa"/>
            <w:tcBorders/>
            <w:vAlign w:val="bottom"/>
          </w:tcPr>
          <w:p>
            <w:pPr>
              <w:pStyle w:val="TableContents"/>
              <w:bidi w:val="0"/>
              <w:spacing w:before="0" w:after="283"/>
              <w:jc w:val="right"/>
              <w:rPr/>
            </w:pPr>
            <w:r>
              <w:rPr/>
              <w:t>4,957,936</w:t>
            </w:r>
          </w:p>
        </w:tc>
        <w:tc>
          <w:tcPr>
            <w:tcW w:w="12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962,831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3,995,105</w:t>
            </w:r>
          </w:p>
        </w:tc>
        <w:tc>
          <w:tcPr>
            <w:tcW w:w="1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all of the Shares held by each Selling Shareholder and being offered under this prospectus are sold, and that no Selling Shareholder will acquire additional Class A ordinary shares before the completion of this offering. The Selling Shareholders may sell any, all, or none of the Shares, and we do not know when or in what amount the Selling Shareholders may sell their Shares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calculating this percentage, includes the aggregate number of Class A ordinary shares held by the Selling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815,285 Class A ordinary shares issuable upon the exercise of options granted to Mr. Peiris that are currently or will be exercisable within 60 days of June 29, 2026, and 105,240 restricted share units granted to Mr. Peiris that will vest within 60 days of June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812,500 Class A ordinary shares issuable upon the exercise of options granted to Mr. Sinha that are currently or will be exercisable within 60 days of June 29, 2026, and 105,240 restricted share units granted to Mr. Sinha that will vest within 60 days of June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402 named non-affiliate persons, each of whom holds at least 1,000 Shares: Samira El Aabidi, Naiara Abaroa, Mohamed Abbas, Ashraf Abbasov, Aisyah binti Abdullah, Habib Adam, Thomas Adamski, Krittika Adhikary, Akshay Agarwal, Ricardo Aguiar, Leonid Akopdzhanyan, Buluthan Aktas, Shafie Abdullahi Sheik Ali, Abdallah Alkhawatrah, Naomi Amobi, Georgia Anderson, Lucas Dybax de Andrade, Evangelia Andrianopoulou, Wen Xin Ang, Yash Raj Arab, John Arevalo, Julie Arnoux, Faruk Arslan, Kamal Udin Asmatpoor, Mukul Bansal, Bruna Baptista, Frederico Baptista, Gabriel De Filippo Barbosa, Aleksandr Barmin, Geoffroy Barruel, Joseph Bartels, Sergei Bashilov, Alessandro Battaglia, Natalia Bauer, Olivier Besancon, Victor Ferreiro Betancor, Michael Bettinson, Chandni Bhan, Arjun Narayanaswamy Bharadwaj, Taneia Bhardwaj, Sakshi Bhatia, Mihir Mohan Bodhapati, Edward Boorn, Alexander Andrea Bredy, Olivier Brochard, Naomi Brookes, Keith Brooks, Andrew Brown, Keelan Brown, Magali Van Bulck, Taras Burko,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Ian Burns, Esteban Campos-Jimenez, Jessica Canter, Lindsay Carbone, Juliana Lourenco Cardoso, Callan Carvey, Narayanna Salgado Chianni Cascardo, Sara Cerminara, Raffaele Cerullo, Jayzel Cervantes, Joao Figueiredo Cevada, Hardi Chandra, Ronojoy Chatterjee, John Chavez, Chu Yi Cathy Chen, Alexandru Ciobanu, Sonia-Carla Ciocirlie, Caroline Clare, Raf Cleemput, Ricky Clegg, Brenda Cohan, Gaelle Constant, Megan Coplan, Caroline Corbett-Thompson, Nadia Francesca Nicole Costanzo, Kyle Ann Crotty, David Jose Farinha Cuevas, Marton Czebe, Oluwatobiloba Daada, Bohdan Danyliuk, Lisa Derijcke, Rahul Devpura, Charlotte Dewey, Aricia Diemler, Chidera Dimude, Lori Dirks, Ankita Rachel Dmello, Roman Dobrovenskii, Harry Dodd, Mary Grace Rubio Domingo, Ian Drayner, Roseanne Drum, Sankalp Duggal, Ena Easow, Dalia El-Shimy, Richard Elliott, Samuele Erbi, Vinicio Espinosa, Andrei Evseenko, Felip Munar Far, Yidan Feng, James Fenlon, Melissa Fenner, Wellington Felix Martins Filho, Alessio Di Fiore, Lucas Fisher, Shane Fitzgerald, Natalie Flynn, Charlotte Fox, Duarte Frazao, Yasmin Frenkel, Cameron Fuge, Michele Galli, Mathangi Ganesh, Bingjie Gao, Julian Garamendy, Divya Gaur, Meghna Ghai, Delia Gibson, Perpetua Gitungo, Nicole Godley, Enes Umur Gokcek, Andreea Goncearenco, Diana Avila Gonzalez, Heath Gordon-McCall, Tatiana Grechishcheva, Ciara Green, Francesca Grieve, Vanessa Grixti, Joe Grondin, Lionel Hadida, Yasoob Haider, Bhanita Haloi, Jacintha Hamilton-Love, David Hancock, Stefan Hardy, Edward Hargin, James Harris, Holden Hartsoe, Jessica Harvey, Hafiz Muhammad Umaid Hassan, Gustaf Hederberg, Daniel Helfenbein, Lorenzo Hernandez, Hannah Hill, Sean Hodges, Andras Gergely Horvath, Eva Hoyt-Nikolic, Jasmyne Huewitt, Weston Hunter, Arianna Illes-Pinter, Samanta Isaj, Rosanna Isbell, Christopher Iverson, Abhinav Jain, Manish Jain, Aman Jamwal, Mathilde Janfils, Vishnu Ramana Jayaraman, Menta Lakshmi Jeevana, Olivia Jewell, Dhvani Johar, Fergus Jordan, Elizabeth Joyce, Tommy Louk Jr, Josep Oriol Valldeperas Juan, Amish Kapoor, Peter Kaszubinski, Pooja Katragadda, Simran Kaur, Ritu Kedia, Laila Kelada-Antoun, Moritz Kerstan, Poojit Khajuria, Jelena Kissel, Doroteya Kodzhanova, Levani Kokhreidze, Aigar Koppel, Georgios Kourogiorgas, Rajeeban Krishnakumar, Madhu Krishnan, Kristi Kuldsaar, Isabelle Ariane Kull, Vivek Kumar, Ranjeet Kumar, Agnieszka Kurzawa, Valarie Kusse, Vitalii Kuzenkov, Andrey Kuznetsov, Nikita Kuznietsov, Yu Wei Kwong, Hiu-Ying Lai, Rajesh Kumar Lakshmanan, Lauren Langbridge, Cassandra LaPrairie, Matthew Larsen, Dzianis Lebedzeu, Jerome Leclercq, Yuen Man Lee, Anna-Maria Lehtonen, Marek Dobromir Lenik, Mika Leppala, Jack Leslie, Rihard Liiva, Stephen Lilly, Brian Linthicum, Aleksandra Liudomir, Maksim Logunov, Gauri Lonkar, Adrian Lopez, Kian Chong Low, Maria Lunardelli, Roxana Maria Lungu, Sandra Lynam, Robert MacFie, Zhakeer Maerzuha, Alfonso Maffei, Nadja Marie Elise Maingard, Anthony Prasad Manikam, Alessandro Manni, Surbhi Manurkar, Adythia Marendri, Gayane Margaryan, Teele Mark, Michael Marter, Stephanie Martin, Mayra Martins, Angels Albiol Masip, Jasleen Matharu, Fernanda Matos, Bohdan Mazur, Ashley Mbaso, John McGarvey, Susanne McNabb, Robert McNamara, Jennifer McRobb, Joseba Matanza Medina, Nirdh Mehta, Faheem Miah, Benjamin Mildren, Emily Miller, Svetlana Minina, Louay Mohamed, Barsaa Mohapatra, Cindy Momodu, Seren Moon, Rafael Luiz Amaral das Neves Moraes, Pere Planell Morell, Sara Moujahid, Hazal Muhtar, Abid Mumtaz, Hemachandran Munivelu, Murali Mupparaju, Pradeep Murugesan, Isabel Naidoo, Aneka Prakash Nair, Staci Nakayama, Stephen Naude, Kelsey Nesturrick, Minh Hoang Nguyen, Aleksandr Nikolaichuk, Caroline Grayson Nugent, Padraig O’Connor, Finn O’Hurley, Feidhlim O’Neill, Linda Okorie-Kalu, Chioma Okpala, Okan Oktar, Biodun Emmanuel Olateju, Telmo Afonso Vilar Goncalves Oliveira, Claire Pages, Forrest Pangborn, Attila Papai, Panagiotis Papaioannou, Yulian Parmakov, Lais Paterno, Mohan Patil, Vivek Patil, Joshua Payton, Li Peng, Nikita Pentchoukov, Christos Peppas, Maria del Pilar Perez, Radu Petre, Sam Pham, Joseph Phillips, Louis Pieterse, Leonardo Piovezan, Stephen Pole, Christopher Pollard, Joshua Prosser, Ilya Puchka, Tony Qin, Daniel Rados, Syeda Sana Rahman, Shabitah Deiwi A/P Rajagopal, Marouane Raji, Anupam Rakshit, Narain Ramaswamy, Sten-Marten Raudmets, Smrithi Ravi, Meenakshi Rawat, Jack Robinson, Sinjin Rodriguez, Aaron Rosser, Joshua James Godfrey Rowat, Nora Rubin, Yann de Rudder, Grace Rudolph, Matthew Salisbury, Freddy Sanchez, Jesus Sanchez, Manuel Sandhofer, Sanjay Sanger, Prathap Sasidharan, Silvia Sassi, Aman Saxena, Bradley Say, Joseph Sayer, Michael Schmidt, Nicolas Soriano I Segarra, Ritika Sehijpal, Alexandr Severinov, Chetna Shastry Shailesh, Hazem Shama, Nidhi Sharma, Prateek Sharma, Serhii Shemshur, Adith Shenoy, Gemma Sheppard, Aleksei Shevchenko, Vera Shishkina, Phellipe de Franca Silva, Alexander Sinnott, Jack Smith, Shaun Smith-Taylor, Konrad Snow, Dmitrii Sofiev, Aleksandr Solodovnikov, Katarzyna Soriano, Livia De Souza, Jair Elton Batista de Souza, Prakhar Srivastava, Priya Stewart, Jonathan Stieglitz, Natalie Stimpson, Kristiina Stokkeby, Linda Strazdina, Anthony Stylianou, Pablo Suarez, Gert Svaiko, Anton Sytnyk, Nehemiah Tang-Campbell, Silas Tatham, Megha Thakur, Swathi Thalinki, Lithin Thomas, Frederick Thompson, Teresa To, Imre Tomosvari, Marie Tonts, Mohammed Topiwalla, Jenny Tran, Anastasios Tsolis, Kristiina Tukk, Petro Turovskyy, Prasangi Unantenne, Aigerim Ussenova, Edda Emilie Uudre, Rohan Vadgaonkar, Susana Filipa Pires Valente, Fiona Vallance, Javier Vara, Amresh Venugopal, Florine Verhaegen, Triinu Viilup, Bablu Vazhayil Vijayakumar, Mauricio Ortega Vizcaino, Jack Wakefield, Manon Weaver, Brian Weaver, Cian Weeresinghe, Gad Weislovits, Ian White, Matthew White, Michael White, Jessica Winter, Till Wirth, Selina Wong, David Woodhouse, Edward Woodley, ShengHua Wu, Caterina Wulfing, Xinyi Yan, Casey Yandell, Wendy Yang, Hong-Sik Yoon, Celine Young, June Yuan, Ahmad Zamrik and Lidong Zhu.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1,806 unnamed non-affiliate persons, each of whom holds less than 1,000 Shares. Each of these persons beneficially owns less than 1% of our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8145_6"/>
      <w:bookmarkEnd w:id="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Shares covered by this prospectus to permit the Selling Shareholders to conduct public secondary trading of these Shares from time to time after the date of this prospectus. We will not receive any of the proceeds of the sale of the Shares offered by this prospectus. The aggregate proceeds to the Selling Shareholders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Shareholders reserve the right to accept and, together with their respective agents, to reject, any proposed purchases of Shares to be made directly or through agents.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offered by this prospectus may be sold from time to time to purchasers: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by the Selling Shareholders,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broker-dealers or agents, who may receive compensation in the form of discounts, commissions or agent’s commissions from the Selling Shareholders or the purchasers of the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Shareholders for the purpose of satisfying the prospectus delivery requirements of the Securities Act. To our knowledge, there are currently no plans, arrangements or understandings between the Selling Shareholders and any underwriter, broker-dealer, or agent regarding the sale of the Shares by the 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sold in one or more transactions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market prices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such prevailing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varying prices determined at the time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sales may be effected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including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such exchanges or services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combination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transactions may include block transactions or crosses. Crosses are transactions in which the same broker acts as an agent on both sides of the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time a particular offering of the Shares is made, a prospectus supplement, if required, will be distributed, which will set forth the name of the Selling Shareholders, the aggregate amount of Shares being offered and the terms of the offering, including, to the extent required, (1) the name or names of any underwriters, broker-dealers or agents, (2) any discounts, commissions and other terms constituting compensation from the Selling Shareholders and (3) any discounts, commissions or concessions allowed or reallowed to be paid to broker-dealers.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will act independently of us in making decisions with respect to the timing, manner, and size of each resale or other transfer. There can be no assurance that the Selling Shareholders will sell any or all of the Shares under this prospectus. Further, we cannot assure you that the Selling Shareholders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other person participating in the sale of the Shares will be subject to the Exchange Act. The Exchange Act rules include, without limitation, Regulation M, which may limit the timing of purchases and sales of any of the Shares by the Selling Shareholders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indemnify any broker or underwriter that participates in transactions involving the sale of the Shares against certain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8145_7"/>
      <w:bookmarkEnd w:id="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being offered by this prospectus will be passed upon for us by Ogier (Jersey) LLP, St. Helier, Jersey, Channel Islands. </w:t>
      </w:r>
    </w:p>
    <w:p>
      <w:pPr>
        <w:pStyle w:val="TextBody"/>
        <w:bidi w:val="0"/>
        <w:spacing w:before="480" w:after="0"/>
        <w:jc w:val="center"/>
        <w:rPr>
          <w:rFonts w:ascii="Times New Roman" w:hAnsi="Times New Roman"/>
          <w:b/>
          <w:sz w:val="20"/>
        </w:rPr>
      </w:pPr>
      <w:bookmarkStart w:id="10" w:name="tx28145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20-F for the year ended March 31, 2026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1" w:name="tx28145_9"/>
      <w:bookmarkEnd w:id="11"/>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 are hereby incorporated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Form 20-F for the fiscal year ended March 31, 2026 (File No.  001-43229), filed with the SEC on </w:t>
            </w:r>
            <w:hyperlink r:id="rId3">
              <w:r>
                <w:rPr>
                  <w:rStyle w:val="InternetLink"/>
                  <w:rFonts w:ascii="Times New Roman" w:hAnsi="Times New Roman"/>
                  <w:sz w:val="20"/>
                </w:rPr>
                <w:t>June 25,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securities contained in </w:t>
            </w:r>
            <w:hyperlink r:id="rId4">
              <w:r>
                <w:rPr>
                  <w:rStyle w:val="InternetLink"/>
                  <w:rFonts w:ascii="Times New Roman" w:hAnsi="Times New Roman"/>
                  <w:sz w:val="20"/>
                </w:rPr>
                <w:t>Exhibit 2.1</w:t>
              </w:r>
            </w:hyperlink>
            <w:r>
              <w:rPr>
                <w:rFonts w:ascii="Times New Roman" w:hAnsi="Times New Roman"/>
                <w:sz w:val="20"/>
              </w:rPr>
              <w:t xml:space="preserve"> of the Registrant’s Annual Report on Form 20-F for the fiscal year ended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480" w:after="0"/>
        <w:jc w:val="center"/>
        <w:rPr>
          <w:rFonts w:ascii="Times New Roman" w:hAnsi="Times New Roman"/>
          <w:b/>
          <w:sz w:val="20"/>
        </w:rPr>
      </w:pPr>
      <w:bookmarkStart w:id="12" w:name="tx28145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20-F with, and furnishes other reports and information on Form 6-K to, the SEC. However, as a foreign private issuer, we are exempt from some of the Exchange Act reporting requirements, including proxy solicitations rules, the short-swing insider profit disclosure rules of Section 16 of the Exchange Act with respect to our Class A ordinary shares and the rules regarding the furnishing of quarterly reports to the SEC, which are required to be furnished only if required or otherwise provided in our home country domicile. </w:t>
      </w:r>
    </w:p>
    <w:p>
      <w:pPr>
        <w:pStyle w:val="TextBody"/>
        <w:bidi w:val="0"/>
        <w:spacing w:before="240" w:after="0"/>
        <w:jc w:val="left"/>
        <w:rPr>
          <w:rFonts w:ascii="Times New Roman" w:hAnsi="Times New Roman"/>
          <w:sz w:val="20"/>
        </w:rPr>
      </w:pPr>
      <w:r>
        <w:rPr>
          <w:rFonts w:ascii="Times New Roman" w:hAnsi="Times New Roman"/>
          <w:sz w:val="20"/>
        </w:rPr>
        <w:t xml:space="preserve">Our filings with the SEC are available through the website maintained by the SEC (www.sec.gov) and on our website at </w:t>
      </w:r>
      <w:r>
        <w:rPr>
          <w:rFonts w:ascii="Times New Roman" w:hAnsi="Times New Roman"/>
          <w:i/>
          <w:sz w:val="20"/>
        </w:rPr>
        <w:t>www.wise.com</w:t>
      </w:r>
      <w:r>
        <w:rPr>
          <w:rFonts w:ascii="Times New Roman" w:hAnsi="Times New Roman"/>
          <w:sz w:val="20"/>
        </w:rPr>
        <w:t xml:space="preserve">. Information contained on, or accessible through, our website is not a part of this prospectus, and the inclusion of our website address in this prospectus is only as an inactive textual reference. Our Class A ordinary shares are admitted to trading on the Nasdaq Global Select Market. You can consult reports and other information about our company that we have filed pursuant to the rules of Nasdaq. </w:t>
      </w:r>
    </w:p>
    <w:p>
      <w:pPr>
        <w:pStyle w:val="TextBody"/>
        <w:bidi w:val="0"/>
        <w:spacing w:before="240" w:after="0"/>
        <w:jc w:val="left"/>
        <w:rPr>
          <w:rFonts w:ascii="Times New Roman" w:hAnsi="Times New Roman"/>
          <w:sz w:val="20"/>
        </w:rPr>
      </w:pPr>
      <w:r>
        <w:rPr>
          <w:rFonts w:ascii="Times New Roman" w:hAnsi="Times New Roman"/>
          <w:sz w:val="20"/>
        </w:rPr>
        <w:t xml:space="preserve">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Wise Group plc, 1st Floor Worship Square, 65 Clifton Street, London EC2A 4JE, United Kingdom, +1 888 501 4041.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Part I of Form S-8 is omitted from this Registration Statement in accordance with the provisions of Rule 428 under the Securities Act of 1933, as amended (the “Securities Act”), and the introductory note to Part I of Form S-8.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reports or documents listed below have been filed with the Commission by Wise Group plc (the “Registrant”) and are incorporated herein by reference to the extent not superseded by documents or reports subsequently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rFonts w:ascii="Times New Roman" w:hAnsi="Times New Roman"/>
                <w:sz w:val="20"/>
              </w:rPr>
              <w:t xml:space="preserve">the Registrant’s Annual Report on Form 20-F for the fiscal year ended March 31, 2026 (File No.  001-43229), filed with the SEC on </w:t>
            </w:r>
            <w:hyperlink r:id="rId5">
              <w:r>
                <w:rPr>
                  <w:rStyle w:val="InternetLink"/>
                  <w:rFonts w:ascii="Times New Roman" w:hAnsi="Times New Roman"/>
                  <w:sz w:val="20"/>
                </w:rPr>
                <w:t>June 25,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The description of the Registrant’s securities contained in </w:t>
            </w:r>
            <w:hyperlink r:id="rId6">
              <w:r>
                <w:rPr>
                  <w:rStyle w:val="InternetLink"/>
                  <w:rFonts w:ascii="Times New Roman" w:hAnsi="Times New Roman"/>
                  <w:sz w:val="20"/>
                </w:rPr>
                <w:t>Exhibit 2.1</w:t>
              </w:r>
            </w:hyperlink>
            <w:r>
              <w:rPr>
                <w:rFonts w:ascii="Times New Roman" w:hAnsi="Times New Roman"/>
                <w:sz w:val="20"/>
              </w:rPr>
              <w:t xml:space="preserve"> of the Registrant’s Annual Report on Form 20-F for the fiscal year ended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Securities Exchange Act of 1934, as amended (the “Exchange Act”), subsequent to the date of this Registration Statement and prior to the filing of a post-effective amendment to this Registration Statement which indicate that all securities offered hereby have been sold or which deregister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Companies (Jersey) Law 1991, as amended (the “Jersey Companies Law”), a Jersey company may indemnify directors and officers (including its secretary) against all expenses, including legal fees, and against all judgments, fines and amounts paid in settlement and reasonably incurred in connection with any civil, criminal, administrative or investigative proceedings, any person successful in defense at the final disposition of such proceedings,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 party or is threatened to be made a party to any threatened, pending or completed proceedings, by reason of the fact that the person is or was an officer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at the request of the company, serving as an officer of, or in any other capacity is or was acting for, another body corporate or a partnership, joint venture, trust or other enterprise,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this does not apply unless the person acted honestly and in good faith and in what they believed to be in the best interests of the company and, in the case of criminal proceedings, the person had no reasonable cause to believe that their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officers or an officer of a company may, subject to any limitation in the Jersey Companies Law, enforce a provision in the company’s articles of association that indemnifies its officers.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Jersey Companies Law, the Registrant’s Articles of Association provide that every director or other officer of the Registrant shall be indemnified out of the assets of the Registrant against any liability incurred by such individual for negligence, default, breach of duty, breach of trust or otherwise in relation to the affairs of the Registrant.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473"/>
        <w:gridCol w:w="8847"/>
      </w:tblGrid>
      <w:tr>
        <w:trPr/>
        <w:tc>
          <w:tcPr>
            <w:tcW w:w="885"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8847" w:type="dxa"/>
            <w:tcBorders/>
            <w:vAlign w:val="center"/>
          </w:tcPr>
          <w:p>
            <w:pPr>
              <w:pStyle w:val="TableContents"/>
              <w:bidi w:val="0"/>
              <w:spacing w:before="0" w:after="283"/>
              <w:jc w:val="left"/>
              <w:rPr>
                <w:sz w:val="4"/>
                <w:szCs w:val="4"/>
              </w:rPr>
            </w:pPr>
            <w:r>
              <w:rPr>
                <w:sz w:val="4"/>
                <w:szCs w:val="4"/>
              </w:rPr>
            </w:r>
          </w:p>
        </w:tc>
      </w:tr>
      <w:tr>
        <w:trPr/>
        <w:tc>
          <w:tcPr>
            <w:tcW w:w="885" w:type="dxa"/>
            <w:tcBorders/>
            <w:vAlign w:val="bottom"/>
          </w:tcPr>
          <w:p>
            <w:pPr>
              <w:pStyle w:val="TableContents"/>
              <w:bidi w:val="0"/>
              <w:spacing w:before="0" w:after="283"/>
              <w:jc w:val="center"/>
              <w:rPr>
                <w:b/>
              </w:rPr>
            </w:pPr>
            <w:r>
              <w:rPr>
                <w:b/>
              </w:rPr>
              <w:t>Exhibit</w:t>
              <w:br/>
              <w:t>Number</w:t>
            </w:r>
          </w:p>
        </w:tc>
        <w:tc>
          <w:tcPr>
            <w:tcW w:w="473" w:type="dxa"/>
            <w:tcBorders/>
            <w:vAlign w:val="bottom"/>
          </w:tcPr>
          <w:p>
            <w:pPr>
              <w:pStyle w:val="TableContents"/>
              <w:bidi w:val="0"/>
              <w:spacing w:before="0" w:after="283"/>
              <w:jc w:val="left"/>
              <w:rPr/>
            </w:pPr>
            <w:r>
              <w:rPr/>
              <w:t>  </w:t>
            </w:r>
          </w:p>
        </w:tc>
        <w:tc>
          <w:tcPr>
            <w:tcW w:w="8847" w:type="dxa"/>
            <w:tcBorders/>
            <w:vAlign w:val="bottom"/>
          </w:tcPr>
          <w:p>
            <w:pPr>
              <w:pStyle w:val="TableContents"/>
              <w:bidi w:val="0"/>
              <w:spacing w:before="0" w:after="283"/>
              <w:jc w:val="center"/>
              <w:rPr>
                <w:b/>
              </w:rPr>
            </w:pPr>
            <w:r>
              <w:rPr>
                <w:b/>
              </w:rPr>
              <w:t>Description</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4.1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r:id="rId7">
              <w:r>
                <w:rPr>
                  <w:rStyle w:val="InternetLink"/>
                </w:rPr>
                <w:t>Memorandum and Articles of Association of Wise Group plc (incorporated by reference to Exhibit 1.1 to the Registrant’s Annual Report on Form 20-F, filed on June 25, 2026).</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5.1*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28145dex51.htm">
              <w:r>
                <w:rPr>
                  <w:rStyle w:val="InternetLink"/>
                </w:rPr>
                <w:t xml:space="preserve">Opinion of Ogier (Jersey) LLP.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23.1*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28145dex231.htm">
              <w:r>
                <w:rPr>
                  <w:rStyle w:val="InternetLink"/>
                </w:rPr>
                <w:t xml:space="preserve">Consent of PricewaterhouseCoopers LLP, Independent Registered Public Accounting Firm.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23.2*</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28145dex51.htm">
              <w:r>
                <w:rPr>
                  <w:rStyle w:val="InternetLink"/>
                </w:rPr>
                <w:t xml:space="preserve">Consent of Ogier (Jersey) LLP (included in Exhibit 5.1).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24.1*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sig">
              <w:r>
                <w:rPr>
                  <w:rStyle w:val="InternetLink"/>
                </w:rPr>
                <w:t xml:space="preserve">Power of Attorney (included on the signature page).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99.1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r:id="rId8">
              <w:r>
                <w:rPr>
                  <w:rStyle w:val="InternetLink"/>
                </w:rPr>
                <w:t>Rules of the TransferWise 2021 Equity Incentive Plan (incorporated by reference to Exhibit 4.4 to the Registrant’s Registration Statement on Form 20-F, filed on April 10, 2026).</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107*</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28145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Registration Statement is on Form S-8, and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July 13,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WISE GROUP PLC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Kristo Käärmann</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Kristo Käärmann</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ig"/>
      <w:bookmarkEnd w:id="13"/>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Kristo Käärmann and Emmanuel Thomassin,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indicated on the date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9"/>
        <w:gridCol w:w="122"/>
        <w:gridCol w:w="4758"/>
        <w:gridCol w:w="122"/>
        <w:gridCol w:w="1874"/>
      </w:tblGrid>
      <w:tr>
        <w:trPr/>
        <w:tc>
          <w:tcPr>
            <w:tcW w:w="33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33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7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2" w:type="dxa"/>
            <w:tcBorders/>
            <w:vAlign w:val="bottom"/>
          </w:tcPr>
          <w:p>
            <w:pPr>
              <w:pStyle w:val="TableContents"/>
              <w:bidi w:val="0"/>
              <w:spacing w:before="0" w:after="283"/>
              <w:jc w:val="left"/>
              <w:rPr/>
            </w:pPr>
            <w:r>
              <w:rPr/>
              <w:t>  </w:t>
            </w:r>
          </w:p>
        </w:tc>
        <w:tc>
          <w:tcPr>
            <w:tcW w:w="1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Kristo Käärmann</w:t>
            </w:r>
          </w:p>
          <w:p>
            <w:pPr>
              <w:pStyle w:val="TableContents"/>
              <w:bidi w:val="0"/>
              <w:spacing w:before="0" w:after="20"/>
              <w:jc w:val="center"/>
              <w:rPr>
                <w:rFonts w:ascii="Times New Roman" w:hAnsi="Times New Roman"/>
                <w:sz w:val="20"/>
              </w:rPr>
            </w:pPr>
            <w:r>
              <w:rPr>
                <w:rFonts w:ascii="Times New Roman" w:hAnsi="Times New Roman"/>
                <w:sz w:val="20"/>
              </w:rPr>
              <w:t>Kristo Käärmann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Chief Executive Officer and Executive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Emmanuel Thomassin</w:t>
            </w:r>
          </w:p>
          <w:p>
            <w:pPr>
              <w:pStyle w:val="TableContents"/>
              <w:bidi w:val="0"/>
              <w:spacing w:before="0" w:after="20"/>
              <w:jc w:val="center"/>
              <w:rPr>
                <w:rFonts w:ascii="Times New Roman" w:hAnsi="Times New Roman"/>
                <w:sz w:val="20"/>
              </w:rPr>
            </w:pPr>
            <w:r>
              <w:rPr>
                <w:rFonts w:ascii="Times New Roman" w:hAnsi="Times New Roman"/>
                <w:sz w:val="20"/>
              </w:rPr>
              <w:t>Emmanuel Thomassin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Chief Financial Officer and Executive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David Wells</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Chair of the Board of Directors</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David Wells</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Clare Gilmartin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Senior Independent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Clare Gilmartin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Elizabeth Chambers</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Non-Executive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Elizabeth Chambers</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Terri Duhon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Non-Executive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Terri Duhon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Scott Hill</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Non-Executive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Scott Hill</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Alastair Rampell</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Non-Executive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Alastair Rampell</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29" w:type="dxa"/>
            <w:tcBorders/>
            <w:vAlign w:val="center"/>
          </w:tcPr>
          <w:p>
            <w:pPr>
              <w:pStyle w:val="TableContents"/>
              <w:bidi w:val="0"/>
              <w:spacing w:before="0" w:after="283"/>
              <w:jc w:val="left"/>
              <w:rPr>
                <w:sz w:val="4"/>
                <w:szCs w:val="4"/>
              </w:rPr>
            </w:pPr>
            <w:r>
              <w:rPr>
                <w:sz w:val="4"/>
                <w:szCs w:val="4"/>
              </w:rPr>
            </w:r>
          </w:p>
        </w:tc>
        <w:tc>
          <w:tcPr>
            <w:tcW w:w="4880" w:type="dxa"/>
            <w:gridSpan w:val="2"/>
            <w:tcBorders/>
            <w:vAlign w:val="center"/>
          </w:tcPr>
          <w:p>
            <w:pPr>
              <w:pStyle w:val="TableContents"/>
              <w:bidi w:val="0"/>
              <w:spacing w:before="0" w:after="283"/>
              <w:jc w:val="left"/>
              <w:rPr>
                <w:sz w:val="4"/>
                <w:szCs w:val="4"/>
              </w:rPr>
            </w:pPr>
            <w:r>
              <w:rPr>
                <w:sz w:val="4"/>
                <w:szCs w:val="4"/>
              </w:rPr>
            </w:r>
          </w:p>
        </w:tc>
        <w:tc>
          <w:tcPr>
            <w:tcW w:w="1996" w:type="dxa"/>
            <w:gridSpan w:val="2"/>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Hooi Ling Tan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center"/>
              <w:rPr/>
            </w:pPr>
            <w:r>
              <w:rPr/>
              <w:t>Non-Executive Director</w:t>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July 13, 2026</w:t>
            </w:r>
          </w:p>
        </w:tc>
      </w:tr>
      <w:tr>
        <w:trPr/>
        <w:tc>
          <w:tcPr>
            <w:tcW w:w="3329" w:type="dxa"/>
            <w:tcBorders/>
            <w:vAlign w:val="bottom"/>
          </w:tcPr>
          <w:p>
            <w:pPr>
              <w:pStyle w:val="TableContents"/>
              <w:bidi w:val="0"/>
              <w:spacing w:before="0" w:after="283"/>
              <w:jc w:val="center"/>
              <w:rPr/>
            </w:pPr>
            <w:r>
              <w:rPr/>
              <w:t>Hooi Ling Tan</w:t>
            </w:r>
          </w:p>
        </w:tc>
        <w:tc>
          <w:tcPr>
            <w:tcW w:w="122" w:type="dxa"/>
            <w:tcBorders/>
            <w:vAlign w:val="bottom"/>
          </w:tcPr>
          <w:p>
            <w:pPr>
              <w:pStyle w:val="TableContents"/>
              <w:bidi w:val="0"/>
              <w:spacing w:before="0" w:after="283"/>
              <w:jc w:val="left"/>
              <w:rPr/>
            </w:pPr>
            <w:r>
              <w:rPr/>
              <w:t>  </w:t>
            </w:r>
          </w:p>
        </w:tc>
        <w:tc>
          <w:tcPr>
            <w:tcW w:w="475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the duly authorized representative in the United States of the Registrant has signed this Registration Statement on July 13,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Wise US,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Kristo Käärmann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Name:  Kristo Käärmann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4" w:name="d28145dex51.htm"/>
      <w:bookmarkStart w:id="15" w:name="ksd28145dex51"/>
      <w:bookmarkEnd w:id="14"/>
      <w:bookmarkEnd w:id="1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165225" cy="5105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165225" cy="51054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04"/>
        <w:gridCol w:w="120"/>
        <w:gridCol w:w="3586"/>
        <w:gridCol w:w="23"/>
        <w:gridCol w:w="120"/>
        <w:gridCol w:w="652"/>
      </w:tblGrid>
      <w:tr>
        <w:trPr/>
        <w:tc>
          <w:tcPr>
            <w:tcW w:w="57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772" w:type="dxa"/>
            <w:gridSpan w:val="2"/>
            <w:tcBorders/>
          </w:tcPr>
          <w:p>
            <w:pPr>
              <w:pStyle w:val="TableContents"/>
              <w:bidi w:val="0"/>
              <w:spacing w:before="0" w:after="283"/>
              <w:jc w:val="left"/>
              <w:rPr>
                <w:sz w:val="4"/>
                <w:szCs w:val="4"/>
              </w:rPr>
            </w:pPr>
            <w:r>
              <w:rPr>
                <w:sz w:val="4"/>
                <w:szCs w:val="4"/>
              </w:rPr>
            </w:r>
          </w:p>
        </w:tc>
      </w:tr>
      <w:tr>
        <w:trPr/>
        <w:tc>
          <w:tcPr>
            <w:tcW w:w="5704"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The Directors</w:t>
            </w:r>
          </w:p>
          <w:p>
            <w:pPr>
              <w:pStyle w:val="TableContents"/>
              <w:bidi w:val="0"/>
              <w:spacing w:before="0" w:after="0"/>
              <w:jc w:val="left"/>
              <w:rPr>
                <w:rFonts w:ascii="Times New Roman" w:hAnsi="Times New Roman"/>
                <w:sz w:val="20"/>
              </w:rPr>
            </w:pPr>
            <w:r>
              <w:rPr>
                <w:rFonts w:ascii="Times New Roman" w:hAnsi="Times New Roman"/>
                <w:sz w:val="20"/>
              </w:rPr>
              <w:t>Wise Group plc</w:t>
            </w:r>
          </w:p>
          <w:p>
            <w:pPr>
              <w:pStyle w:val="TableContents"/>
              <w:bidi w:val="0"/>
              <w:spacing w:before="0" w:after="20"/>
              <w:jc w:val="left"/>
              <w:rPr>
                <w:rFonts w:ascii="Times New Roman" w:hAnsi="Times New Roman"/>
                <w:sz w:val="20"/>
              </w:rPr>
            </w:pPr>
            <w:r>
              <w:rPr>
                <w:rFonts w:ascii="Times New Roman" w:hAnsi="Times New Roman"/>
                <w:sz w:val="20"/>
              </w:rPr>
              <w:t xml:space="preserve">3rd Floor </w:t>
              <w:br/>
              <w:t xml:space="preserve">44 Esplanade </w:t>
              <w:br/>
              <w:t xml:space="preserve">St. Helier </w:t>
              <w:br/>
              <w:t xml:space="preserve">JE4 9WG </w:t>
              <w:br/>
              <w:t>Jersey</w:t>
            </w:r>
          </w:p>
        </w:tc>
        <w:tc>
          <w:tcPr>
            <w:tcW w:w="120" w:type="dxa"/>
            <w:vMerge w:val="restart"/>
            <w:tcBorders/>
            <w:vAlign w:val="bottom"/>
          </w:tcPr>
          <w:p>
            <w:pPr>
              <w:pStyle w:val="TableContents"/>
              <w:bidi w:val="0"/>
              <w:spacing w:before="0" w:after="283"/>
              <w:jc w:val="left"/>
              <w:rPr/>
            </w:pPr>
            <w:r>
              <w:rPr/>
              <w:t>  </w:t>
            </w:r>
          </w:p>
        </w:tc>
        <w:tc>
          <w:tcPr>
            <w:tcW w:w="3586"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D +44 1534 514239</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E Raulin.Amy@ogier.com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Reference: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RAA/MKW/518716.00001</w:t>
            </w:r>
          </w:p>
        </w:tc>
        <w:tc>
          <w:tcPr>
            <w:tcW w:w="23" w:type="dxa"/>
            <w:tcBorders/>
          </w:tcPr>
          <w:p>
            <w:pPr>
              <w:pStyle w:val="TableContents"/>
              <w:bidi w:val="0"/>
              <w:spacing w:before="0" w:after="283"/>
              <w:jc w:val="left"/>
              <w:rPr>
                <w:sz w:val="4"/>
                <w:szCs w:val="4"/>
              </w:rPr>
            </w:pPr>
            <w:r>
              <w:rPr>
                <w:sz w:val="4"/>
                <w:szCs w:val="4"/>
              </w:rPr>
            </w:r>
          </w:p>
        </w:tc>
        <w:tc>
          <w:tcPr>
            <w:tcW w:w="772"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5704"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3586" w:type="dxa"/>
            <w:vMerge w:val="continue"/>
            <w:tcBorders/>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5704"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3586" w:type="dxa"/>
            <w:vMerge w:val="continue"/>
            <w:tcBorders/>
          </w:tcPr>
          <w:p>
            <w:pPr>
              <w:pStyle w:val="Normal"/>
              <w:bidi w:val="0"/>
              <w:jc w:val="left"/>
              <w:rPr/>
            </w:pPr>
            <w:r>
              <w:rPr/>
            </w:r>
          </w:p>
        </w:tc>
        <w:tc>
          <w:tcPr>
            <w:tcW w:w="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13 July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Wise Group plc (the Company) – Registration of Plan Shares under the US Securities Act of 1933, as amended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Background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registration statement on Form S-8 (the </w:t>
            </w:r>
            <w:r>
              <w:rPr>
                <w:rFonts w:ascii="Times New Roman" w:hAnsi="Times New Roman"/>
                <w:b/>
                <w:sz w:val="20"/>
              </w:rPr>
              <w:t>Registration Statement</w:t>
            </w:r>
            <w:r>
              <w:rPr>
                <w:rFonts w:ascii="Times New Roman" w:hAnsi="Times New Roman"/>
                <w:sz w:val="20"/>
              </w:rPr>
              <w:t xml:space="preserve">) filed by the Company today with the US Securities and Exchange Commission pursuant to the Securities Act, you have asked us to furnish our opinion as to the legality of the securities being registered under the Registration Statement. The Registration Statement relates to the registration by the Company under the Securities Act of the Plan Shares (as defined below) each authorized for issuance pursuant to and in accordance with the terms contained in the Replacement Award Deed dated 8 May 2026 made between the Company and the Award Holders (as defined therein) in respect of the grant of certain Replacement Awards thereunder (the </w:t>
            </w:r>
            <w:r>
              <w:rPr>
                <w:rFonts w:ascii="Times New Roman" w:hAnsi="Times New Roman"/>
                <w:b/>
                <w:sz w:val="20"/>
              </w:rPr>
              <w:t>Replacement Award 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relevant Plan (as defined in the Replacement Award Deed) (each an </w:t>
            </w:r>
            <w:r>
              <w:rPr>
                <w:rFonts w:ascii="Times New Roman" w:hAnsi="Times New Roman"/>
                <w:b/>
                <w:sz w:val="20"/>
              </w:rPr>
              <w:t>EIP</w:t>
            </w:r>
            <w:r>
              <w:rPr>
                <w:rFonts w:ascii="Times New Roman" w:hAnsi="Times New Roman"/>
                <w:sz w:val="20"/>
              </w:rPr>
              <w:t xml:space="preserve"> and together the </w:t>
            </w:r>
            <w:r>
              <w:rPr>
                <w:rFonts w:ascii="Times New Roman" w:hAnsi="Times New Roman"/>
                <w:b/>
                <w:sz w:val="20"/>
              </w:rPr>
              <w:t>EIPs</w:t>
            </w:r>
            <w:r>
              <w:rPr>
                <w:rFonts w:ascii="Times New Roman" w:hAnsi="Times New Roman"/>
                <w:sz w:val="20"/>
              </w:rPr>
              <w:t xml:space="preserve">) the Company has granted certain Replacement Awards subject to and as defined in the Replacement Award Deed relating to, amongst other things, the Plan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b/>
                <w:sz w:val="20"/>
              </w:rPr>
              <w:t>non-assessable</w:t>
            </w:r>
            <w:r>
              <w:rPr>
                <w:rFonts w:ascii="Times New Roman" w:hAnsi="Times New Roman"/>
                <w:sz w:val="20"/>
              </w:rPr>
              <w:t xml:space="preserve"> means, in relation to any Plan Shares, that the consideration for which the Company agreed to issue those Plans Shares has been paid in full to the Company, so that no further sum is payable to the Company by any holder of those Plan Shares in respect of the purchase price of those Plan Shares; and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8"/>
        <w:gridCol w:w="120"/>
        <w:gridCol w:w="1551"/>
        <w:gridCol w:w="120"/>
        <w:gridCol w:w="1693"/>
        <w:gridCol w:w="120"/>
        <w:gridCol w:w="3923"/>
      </w:tblGrid>
      <w:tr>
        <w:trPr/>
        <w:tc>
          <w:tcPr>
            <w:tcW w:w="26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23" w:type="dxa"/>
            <w:tcBorders/>
            <w:vAlign w:val="center"/>
          </w:tcPr>
          <w:p>
            <w:pPr>
              <w:pStyle w:val="TableContents"/>
              <w:bidi w:val="0"/>
              <w:spacing w:before="0" w:after="283"/>
              <w:jc w:val="left"/>
              <w:rPr>
                <w:sz w:val="4"/>
                <w:szCs w:val="4"/>
              </w:rPr>
            </w:pPr>
            <w:r>
              <w:rPr>
                <w:sz w:val="4"/>
                <w:szCs w:val="4"/>
              </w:rPr>
            </w:r>
          </w:p>
        </w:tc>
      </w:tr>
      <w:tr>
        <w:trPr/>
        <w:tc>
          <w:tcPr>
            <w:tcW w:w="2678"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Ogier (Jersey) LLP</w:t>
            </w:r>
          </w:p>
          <w:p>
            <w:pPr>
              <w:pStyle w:val="TableContents"/>
              <w:bidi w:val="0"/>
              <w:spacing w:lineRule="atLeast" w:line="240" w:before="0" w:after="0"/>
              <w:jc w:val="left"/>
              <w:rPr>
                <w:rFonts w:ascii="Times New Roman" w:hAnsi="Times New Roman"/>
                <w:sz w:val="18"/>
              </w:rPr>
            </w:pPr>
            <w:r>
              <w:rPr>
                <w:rFonts w:ascii="Times New Roman" w:hAnsi="Times New Roman"/>
                <w:sz w:val="18"/>
              </w:rPr>
              <w:t>44 Esplanade</w:t>
            </w:r>
          </w:p>
          <w:p>
            <w:pPr>
              <w:pStyle w:val="TableContents"/>
              <w:bidi w:val="0"/>
              <w:spacing w:lineRule="atLeast" w:line="240" w:before="0" w:after="0"/>
              <w:jc w:val="left"/>
              <w:rPr>
                <w:rFonts w:ascii="Times New Roman" w:hAnsi="Times New Roman"/>
                <w:sz w:val="18"/>
              </w:rPr>
            </w:pPr>
            <w:r>
              <w:rPr>
                <w:rFonts w:ascii="Times New Roman" w:hAnsi="Times New Roman"/>
                <w:sz w:val="18"/>
              </w:rPr>
              <w:t>St Helier</w:t>
            </w:r>
          </w:p>
          <w:p>
            <w:pPr>
              <w:pStyle w:val="TableContents"/>
              <w:bidi w:val="0"/>
              <w:spacing w:lineRule="atLeast" w:line="240" w:before="0" w:after="0"/>
              <w:jc w:val="left"/>
              <w:rPr>
                <w:rFonts w:ascii="Times New Roman" w:hAnsi="Times New Roman"/>
                <w:sz w:val="18"/>
              </w:rPr>
            </w:pPr>
            <w:r>
              <w:rPr>
                <w:rFonts w:ascii="Times New Roman" w:hAnsi="Times New Roman"/>
                <w:sz w:val="18"/>
              </w:rPr>
              <w:t>Jersey JE4 9WG</w:t>
            </w:r>
          </w:p>
          <w:p>
            <w:pPr>
              <w:pStyle w:val="TableContents"/>
              <w:bidi w:val="0"/>
              <w:spacing w:before="0" w:after="0"/>
              <w:jc w:val="left"/>
              <w:rPr/>
            </w:pPr>
            <w:r>
              <w:rPr/>
              <w:t> </w:t>
            </w:r>
          </w:p>
          <w:p>
            <w:pPr>
              <w:pStyle w:val="TableContents"/>
              <w:bidi w:val="0"/>
              <w:spacing w:lineRule="atLeast" w:line="220" w:before="0" w:after="0"/>
              <w:jc w:val="left"/>
              <w:rPr>
                <w:rFonts w:ascii="Times New Roman" w:hAnsi="Times New Roman"/>
                <w:sz w:val="18"/>
              </w:rPr>
            </w:pPr>
            <w:r>
              <w:rPr>
                <w:rFonts w:ascii="Times New Roman" w:hAnsi="Times New Roman"/>
                <w:sz w:val="18"/>
              </w:rPr>
              <w:t>T +44 1534 514000</w:t>
            </w:r>
          </w:p>
          <w:p>
            <w:pPr>
              <w:pStyle w:val="TableContents"/>
              <w:bidi w:val="0"/>
              <w:spacing w:lineRule="atLeast" w:line="220" w:before="0" w:after="0"/>
              <w:jc w:val="left"/>
              <w:rPr>
                <w:rFonts w:ascii="Times New Roman" w:hAnsi="Times New Roman"/>
                <w:sz w:val="18"/>
              </w:rPr>
            </w:pPr>
            <w:r>
              <w:rPr>
                <w:rFonts w:ascii="Times New Roman" w:hAnsi="Times New Roman"/>
                <w:sz w:val="18"/>
              </w:rPr>
              <w:t>F +44 1534 514444</w:t>
            </w:r>
          </w:p>
          <w:p>
            <w:pPr>
              <w:pStyle w:val="TableContents"/>
              <w:bidi w:val="0"/>
              <w:spacing w:before="0" w:after="0"/>
              <w:jc w:val="left"/>
              <w:rPr/>
            </w:pPr>
            <w:r>
              <w:rPr/>
              <w:t> </w:t>
            </w:r>
          </w:p>
          <w:p>
            <w:pPr>
              <w:pStyle w:val="TableContents"/>
              <w:bidi w:val="0"/>
              <w:spacing w:lineRule="atLeast" w:line="220" w:before="0" w:after="20"/>
              <w:jc w:val="left"/>
              <w:rPr>
                <w:rFonts w:ascii="Times New Roman" w:hAnsi="Times New Roman"/>
                <w:b/>
                <w:sz w:val="18"/>
              </w:rPr>
            </w:pPr>
            <w:r>
              <w:rPr>
                <w:rFonts w:ascii="Times New Roman" w:hAnsi="Times New Roman"/>
                <w:b/>
                <w:sz w:val="18"/>
              </w:rPr>
              <w:t>ogier.com</w:t>
            </w:r>
          </w:p>
        </w:tc>
        <w:tc>
          <w:tcPr>
            <w:tcW w:w="120"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Partners</w:t>
            </w:r>
          </w:p>
          <w:p>
            <w:pPr>
              <w:pStyle w:val="TableContents"/>
              <w:bidi w:val="0"/>
              <w:spacing w:before="0" w:after="0"/>
              <w:jc w:val="left"/>
              <w:rPr>
                <w:rFonts w:ascii="Times New Roman" w:hAnsi="Times New Roman"/>
                <w:sz w:val="16"/>
              </w:rPr>
            </w:pPr>
            <w:r>
              <w:rPr>
                <w:rFonts w:ascii="Times New Roman" w:hAnsi="Times New Roman"/>
                <w:sz w:val="16"/>
              </w:rPr>
              <w:t>Raulin Amy</w:t>
            </w:r>
          </w:p>
          <w:p>
            <w:pPr>
              <w:pStyle w:val="TableContents"/>
              <w:bidi w:val="0"/>
              <w:spacing w:before="0" w:after="0"/>
              <w:jc w:val="left"/>
              <w:rPr>
                <w:rFonts w:ascii="Times New Roman" w:hAnsi="Times New Roman"/>
                <w:sz w:val="16"/>
              </w:rPr>
            </w:pPr>
            <w:r>
              <w:rPr>
                <w:rFonts w:ascii="Times New Roman" w:hAnsi="Times New Roman"/>
                <w:sz w:val="16"/>
              </w:rPr>
              <w:t>James Angus</w:t>
            </w:r>
          </w:p>
          <w:p>
            <w:pPr>
              <w:pStyle w:val="TableContents"/>
              <w:bidi w:val="0"/>
              <w:spacing w:before="0" w:after="0"/>
              <w:jc w:val="left"/>
              <w:rPr>
                <w:rFonts w:ascii="Times New Roman" w:hAnsi="Times New Roman"/>
                <w:sz w:val="16"/>
              </w:rPr>
            </w:pPr>
            <w:r>
              <w:rPr>
                <w:rFonts w:ascii="Times New Roman" w:hAnsi="Times New Roman"/>
                <w:sz w:val="16"/>
              </w:rPr>
              <w:t>James Campbell</w:t>
            </w:r>
          </w:p>
          <w:p>
            <w:pPr>
              <w:pStyle w:val="TableContents"/>
              <w:bidi w:val="0"/>
              <w:spacing w:before="0" w:after="0"/>
              <w:jc w:val="left"/>
              <w:rPr>
                <w:rFonts w:ascii="Times New Roman" w:hAnsi="Times New Roman"/>
                <w:sz w:val="16"/>
              </w:rPr>
            </w:pPr>
            <w:r>
              <w:rPr>
                <w:rFonts w:ascii="Times New Roman" w:hAnsi="Times New Roman"/>
                <w:sz w:val="16"/>
              </w:rPr>
              <w:t>Richard Daggett</w:t>
            </w:r>
          </w:p>
          <w:p>
            <w:pPr>
              <w:pStyle w:val="TableContents"/>
              <w:bidi w:val="0"/>
              <w:spacing w:before="0" w:after="0"/>
              <w:jc w:val="left"/>
              <w:rPr>
                <w:rFonts w:ascii="Times New Roman" w:hAnsi="Times New Roman"/>
                <w:sz w:val="16"/>
              </w:rPr>
            </w:pPr>
            <w:r>
              <w:rPr>
                <w:rFonts w:ascii="Times New Roman" w:hAnsi="Times New Roman"/>
                <w:sz w:val="16"/>
              </w:rPr>
              <w:t>Simon Dinning</w:t>
            </w:r>
          </w:p>
          <w:p>
            <w:pPr>
              <w:pStyle w:val="TableContents"/>
              <w:bidi w:val="0"/>
              <w:spacing w:before="0" w:after="0"/>
              <w:jc w:val="left"/>
              <w:rPr>
                <w:rFonts w:ascii="Times New Roman" w:hAnsi="Times New Roman"/>
                <w:sz w:val="16"/>
              </w:rPr>
            </w:pPr>
            <w:r>
              <w:rPr>
                <w:rFonts w:ascii="Times New Roman" w:hAnsi="Times New Roman"/>
                <w:sz w:val="16"/>
              </w:rPr>
              <w:t>Damian Evans</w:t>
            </w:r>
          </w:p>
          <w:p>
            <w:pPr>
              <w:pStyle w:val="TableContents"/>
              <w:bidi w:val="0"/>
              <w:spacing w:before="0" w:after="0"/>
              <w:jc w:val="left"/>
              <w:rPr>
                <w:rFonts w:ascii="Times New Roman" w:hAnsi="Times New Roman"/>
                <w:sz w:val="16"/>
              </w:rPr>
            </w:pPr>
            <w:r>
              <w:rPr>
                <w:rFonts w:ascii="Times New Roman" w:hAnsi="Times New Roman"/>
                <w:sz w:val="16"/>
              </w:rPr>
              <w:t>Michael Evans</w:t>
            </w:r>
          </w:p>
          <w:p>
            <w:pPr>
              <w:pStyle w:val="TableContents"/>
              <w:bidi w:val="0"/>
              <w:spacing w:before="0" w:after="0"/>
              <w:jc w:val="left"/>
              <w:rPr>
                <w:rFonts w:ascii="Times New Roman" w:hAnsi="Times New Roman"/>
                <w:sz w:val="16"/>
              </w:rPr>
            </w:pPr>
            <w:r>
              <w:rPr>
                <w:rFonts w:ascii="Times New Roman" w:hAnsi="Times New Roman"/>
                <w:sz w:val="16"/>
              </w:rPr>
              <w:t>James Fox</w:t>
            </w:r>
          </w:p>
          <w:p>
            <w:pPr>
              <w:pStyle w:val="TableContents"/>
              <w:bidi w:val="0"/>
              <w:spacing w:before="0" w:after="0"/>
              <w:jc w:val="left"/>
              <w:rPr>
                <w:rFonts w:ascii="Times New Roman" w:hAnsi="Times New Roman"/>
                <w:sz w:val="16"/>
              </w:rPr>
            </w:pPr>
            <w:r>
              <w:rPr>
                <w:rFonts w:ascii="Times New Roman" w:hAnsi="Times New Roman"/>
                <w:sz w:val="16"/>
              </w:rPr>
              <w:t>Amy Garrod</w:t>
            </w:r>
          </w:p>
          <w:p>
            <w:pPr>
              <w:pStyle w:val="TableContents"/>
              <w:bidi w:val="0"/>
              <w:spacing w:before="0" w:after="20"/>
              <w:jc w:val="left"/>
              <w:rPr>
                <w:rFonts w:ascii="Times New Roman" w:hAnsi="Times New Roman"/>
                <w:sz w:val="16"/>
              </w:rPr>
            </w:pPr>
            <w:r>
              <w:rPr>
                <w:rFonts w:ascii="Times New Roman" w:hAnsi="Times New Roman"/>
                <w:sz w:val="16"/>
              </w:rPr>
              <w:t>Josephine Howe</w:t>
            </w:r>
          </w:p>
        </w:tc>
        <w:tc>
          <w:tcPr>
            <w:tcW w:w="12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Jonathan Hughes</w:t>
            </w:r>
          </w:p>
          <w:p>
            <w:pPr>
              <w:pStyle w:val="TableContents"/>
              <w:bidi w:val="0"/>
              <w:spacing w:before="0" w:after="0"/>
              <w:jc w:val="left"/>
              <w:rPr>
                <w:rFonts w:ascii="Times New Roman" w:hAnsi="Times New Roman"/>
                <w:sz w:val="16"/>
              </w:rPr>
            </w:pPr>
            <w:r>
              <w:rPr>
                <w:rFonts w:ascii="Times New Roman" w:hAnsi="Times New Roman"/>
                <w:sz w:val="16"/>
              </w:rPr>
              <w:t>Richard Laignel</w:t>
            </w:r>
          </w:p>
          <w:p>
            <w:pPr>
              <w:pStyle w:val="TableContents"/>
              <w:bidi w:val="0"/>
              <w:spacing w:before="0" w:after="0"/>
              <w:jc w:val="left"/>
              <w:rPr>
                <w:rFonts w:ascii="Times New Roman" w:hAnsi="Times New Roman"/>
                <w:sz w:val="16"/>
              </w:rPr>
            </w:pPr>
            <w:r>
              <w:rPr>
                <w:rFonts w:ascii="Times New Roman" w:hAnsi="Times New Roman"/>
                <w:sz w:val="16"/>
              </w:rPr>
              <w:t>Niamh Lalor</w:t>
            </w:r>
          </w:p>
          <w:p>
            <w:pPr>
              <w:pStyle w:val="TableContents"/>
              <w:bidi w:val="0"/>
              <w:spacing w:before="0" w:after="0"/>
              <w:jc w:val="left"/>
              <w:rPr>
                <w:rFonts w:ascii="Times New Roman" w:hAnsi="Times New Roman"/>
                <w:sz w:val="16"/>
              </w:rPr>
            </w:pPr>
            <w:r>
              <w:rPr>
                <w:rFonts w:ascii="Times New Roman" w:hAnsi="Times New Roman"/>
                <w:sz w:val="16"/>
              </w:rPr>
              <w:t>Kate McCaffrey</w:t>
            </w:r>
          </w:p>
          <w:p>
            <w:pPr>
              <w:pStyle w:val="TableContents"/>
              <w:bidi w:val="0"/>
              <w:spacing w:before="0" w:after="0"/>
              <w:jc w:val="left"/>
              <w:rPr>
                <w:rFonts w:ascii="Times New Roman" w:hAnsi="Times New Roman"/>
                <w:sz w:val="16"/>
              </w:rPr>
            </w:pPr>
            <w:r>
              <w:rPr>
                <w:rFonts w:ascii="Times New Roman" w:hAnsi="Times New Roman"/>
                <w:sz w:val="16"/>
              </w:rPr>
              <w:t>Edward Mackereth</w:t>
            </w:r>
          </w:p>
          <w:p>
            <w:pPr>
              <w:pStyle w:val="TableContents"/>
              <w:bidi w:val="0"/>
              <w:spacing w:before="0" w:after="0"/>
              <w:jc w:val="left"/>
              <w:rPr>
                <w:rFonts w:ascii="Times New Roman" w:hAnsi="Times New Roman"/>
                <w:sz w:val="16"/>
              </w:rPr>
            </w:pPr>
            <w:r>
              <w:rPr>
                <w:rFonts w:ascii="Times New Roman" w:hAnsi="Times New Roman"/>
                <w:sz w:val="16"/>
              </w:rPr>
              <w:t>Bruce MacNeil</w:t>
            </w:r>
          </w:p>
          <w:p>
            <w:pPr>
              <w:pStyle w:val="TableContents"/>
              <w:bidi w:val="0"/>
              <w:spacing w:before="0" w:after="0"/>
              <w:jc w:val="left"/>
              <w:rPr>
                <w:rFonts w:ascii="Times New Roman" w:hAnsi="Times New Roman"/>
                <w:sz w:val="16"/>
              </w:rPr>
            </w:pPr>
            <w:r>
              <w:rPr>
                <w:rFonts w:ascii="Times New Roman" w:hAnsi="Times New Roman"/>
                <w:sz w:val="16"/>
              </w:rPr>
              <w:t>Katharine Marshall</w:t>
            </w:r>
          </w:p>
          <w:p>
            <w:pPr>
              <w:pStyle w:val="TableContents"/>
              <w:bidi w:val="0"/>
              <w:spacing w:before="0" w:after="0"/>
              <w:jc w:val="left"/>
              <w:rPr>
                <w:rFonts w:ascii="Times New Roman" w:hAnsi="Times New Roman"/>
                <w:sz w:val="16"/>
              </w:rPr>
            </w:pPr>
            <w:r>
              <w:rPr>
                <w:rFonts w:ascii="Times New Roman" w:hAnsi="Times New Roman"/>
                <w:sz w:val="16"/>
              </w:rPr>
              <w:t>Matt McManus</w:t>
            </w:r>
          </w:p>
          <w:p>
            <w:pPr>
              <w:pStyle w:val="TableContents"/>
              <w:bidi w:val="0"/>
              <w:spacing w:before="0" w:after="0"/>
              <w:jc w:val="left"/>
              <w:rPr>
                <w:rFonts w:ascii="Times New Roman" w:hAnsi="Times New Roman"/>
                <w:sz w:val="16"/>
              </w:rPr>
            </w:pPr>
            <w:r>
              <w:rPr>
                <w:rFonts w:ascii="Times New Roman" w:hAnsi="Times New Roman"/>
                <w:sz w:val="16"/>
              </w:rPr>
              <w:t>Rebecca McNulty</w:t>
            </w:r>
          </w:p>
          <w:p>
            <w:pPr>
              <w:pStyle w:val="TableContents"/>
              <w:bidi w:val="0"/>
              <w:spacing w:before="0" w:after="20"/>
              <w:jc w:val="left"/>
              <w:rPr>
                <w:rFonts w:ascii="Times New Roman" w:hAnsi="Times New Roman"/>
                <w:sz w:val="16"/>
              </w:rPr>
            </w:pPr>
            <w:r>
              <w:rPr>
                <w:rFonts w:ascii="Times New Roman" w:hAnsi="Times New Roman"/>
                <w:sz w:val="16"/>
              </w:rPr>
              <w:t>Steven Meiklejohn</w:t>
            </w:r>
          </w:p>
        </w:tc>
        <w:tc>
          <w:tcPr>
            <w:tcW w:w="120"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br/>
              <w:t>Alexandra O’Grady</w:t>
            </w:r>
          </w:p>
          <w:p>
            <w:pPr>
              <w:pStyle w:val="TableContents"/>
              <w:bidi w:val="0"/>
              <w:spacing w:before="0" w:after="0"/>
              <w:jc w:val="left"/>
              <w:rPr>
                <w:rFonts w:ascii="Times New Roman" w:hAnsi="Times New Roman"/>
                <w:sz w:val="16"/>
              </w:rPr>
            </w:pPr>
            <w:r>
              <w:rPr>
                <w:rFonts w:ascii="Times New Roman" w:hAnsi="Times New Roman"/>
                <w:sz w:val="16"/>
              </w:rPr>
              <w:t>Oliver Passmore</w:t>
            </w:r>
          </w:p>
          <w:p>
            <w:pPr>
              <w:pStyle w:val="TableContents"/>
              <w:bidi w:val="0"/>
              <w:spacing w:before="0" w:after="0"/>
              <w:jc w:val="left"/>
              <w:rPr>
                <w:rFonts w:ascii="Times New Roman" w:hAnsi="Times New Roman"/>
                <w:sz w:val="16"/>
              </w:rPr>
            </w:pPr>
            <w:r>
              <w:rPr>
                <w:rFonts w:ascii="Times New Roman" w:hAnsi="Times New Roman"/>
                <w:sz w:val="16"/>
              </w:rPr>
              <w:t>Nathan Powell</w:t>
            </w:r>
          </w:p>
          <w:p>
            <w:pPr>
              <w:pStyle w:val="TableContents"/>
              <w:bidi w:val="0"/>
              <w:spacing w:before="0" w:after="0"/>
              <w:jc w:val="left"/>
              <w:rPr>
                <w:rFonts w:ascii="Times New Roman" w:hAnsi="Times New Roman"/>
                <w:sz w:val="16"/>
              </w:rPr>
            </w:pPr>
            <w:r>
              <w:rPr>
                <w:rFonts w:ascii="Times New Roman" w:hAnsi="Times New Roman"/>
                <w:sz w:val="16"/>
              </w:rPr>
              <w:t>Sophie Reguengo</w:t>
            </w:r>
          </w:p>
          <w:p>
            <w:pPr>
              <w:pStyle w:val="TableContents"/>
              <w:bidi w:val="0"/>
              <w:spacing w:before="0" w:after="0"/>
              <w:jc w:val="left"/>
              <w:rPr>
                <w:rFonts w:ascii="Times New Roman" w:hAnsi="Times New Roman"/>
                <w:sz w:val="16"/>
              </w:rPr>
            </w:pPr>
            <w:r>
              <w:rPr>
                <w:rFonts w:ascii="Times New Roman" w:hAnsi="Times New Roman"/>
                <w:sz w:val="16"/>
              </w:rPr>
              <w:t>Oliver Richardson</w:t>
            </w:r>
          </w:p>
          <w:p>
            <w:pPr>
              <w:pStyle w:val="TableContents"/>
              <w:bidi w:val="0"/>
              <w:spacing w:before="0" w:after="0"/>
              <w:jc w:val="left"/>
              <w:rPr>
                <w:rFonts w:ascii="Times New Roman" w:hAnsi="Times New Roman"/>
                <w:sz w:val="16"/>
              </w:rPr>
            </w:pPr>
            <w:r>
              <w:rPr>
                <w:rFonts w:ascii="Times New Roman" w:hAnsi="Times New Roman"/>
                <w:sz w:val="16"/>
              </w:rPr>
              <w:t>Bruce Scott</w:t>
            </w:r>
          </w:p>
          <w:p>
            <w:pPr>
              <w:pStyle w:val="TableContents"/>
              <w:bidi w:val="0"/>
              <w:spacing w:before="0" w:after="0"/>
              <w:jc w:val="left"/>
              <w:rPr>
                <w:rFonts w:ascii="Times New Roman" w:hAnsi="Times New Roman"/>
                <w:sz w:val="16"/>
              </w:rPr>
            </w:pPr>
            <w:r>
              <w:rPr>
                <w:rFonts w:ascii="Times New Roman" w:hAnsi="Times New Roman"/>
                <w:sz w:val="16"/>
              </w:rPr>
              <w:t>Henry Wickham</w:t>
            </w:r>
          </w:p>
          <w:p>
            <w:pPr>
              <w:pStyle w:val="TableContents"/>
              <w:bidi w:val="0"/>
              <w:spacing w:before="0" w:after="20"/>
              <w:jc w:val="left"/>
              <w:rPr>
                <w:rFonts w:ascii="Times New Roman" w:hAnsi="Times New Roman"/>
                <w:sz w:val="16"/>
              </w:rPr>
            </w:pPr>
            <w:r>
              <w:rPr>
                <w:rFonts w:ascii="Times New Roman" w:hAnsi="Times New Roman"/>
                <w:sz w:val="16"/>
              </w:rPr>
              <w:t>Nicholas Williams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Registered as a limited liability partnership in Jersey. Registered number 99.</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b/>
                <w:sz w:val="20"/>
              </w:rPr>
              <w:t>Plan Shares</w:t>
            </w:r>
            <w:r>
              <w:rPr>
                <w:rFonts w:ascii="Times New Roman" w:hAnsi="Times New Roman"/>
                <w:sz w:val="20"/>
              </w:rPr>
              <w:t xml:space="preserve"> means 1,797,631 Class A ordinary shares, of nominal value of $0.01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Documents examined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giving this opinion, we have examined and relied upon such documents as we deem appropriate, including the following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of association of the Company in force as at the date hereof (the </w:t>
            </w:r>
            <w:r>
              <w:rPr>
                <w:rFonts w:ascii="Times New Roman" w:hAnsi="Times New Roman"/>
                <w:b/>
                <w:sz w:val="20"/>
              </w:rPr>
              <w:t>M&amp;A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Replacement Award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Plans (as defined in the Replacement Award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minutes of a meeting of the board of directors of the Company held on 8 April 2026, which include (without limitation) the directors approving and/or ratifying the Documents and the preparation and filing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to issue shares dated 17 June 2025 issued to the Company by the Jersey Financial Services Commission (the </w:t>
            </w:r>
            <w:r>
              <w:rPr>
                <w:rFonts w:ascii="Times New Roman" w:hAnsi="Times New Roman"/>
                <w:b/>
                <w:sz w:val="20"/>
              </w:rPr>
              <w:t>Commission</w:t>
            </w:r>
            <w:r>
              <w:rPr>
                <w:rFonts w:ascii="Times New Roman" w:hAnsi="Times New Roman"/>
                <w:sz w:val="20"/>
              </w:rPr>
              <w:t>) under the Control of Borrowing (Jersey) Order 1958, as amended (</w:t>
            </w:r>
            <w:r>
              <w:rPr>
                <w:rFonts w:ascii="Times New Roman" w:hAnsi="Times New Roman"/>
                <w:b/>
                <w:sz w:val="20"/>
              </w:rPr>
              <w:t>COBO</w:t>
            </w:r>
            <w:r>
              <w:rPr>
                <w:rFonts w:ascii="Times New Roman" w:hAnsi="Times New Roman"/>
                <w:sz w:val="20"/>
              </w:rPr>
              <w:t xml:space="preserve">) (the </w:t>
            </w:r>
            <w:r>
              <w:rPr>
                <w:rFonts w:ascii="Times New Roman" w:hAnsi="Times New Roman"/>
                <w:b/>
                <w:sz w:val="20"/>
              </w:rPr>
              <w:t>Article 2 Consent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to issue share options pursuant to the Documents dated 29 April 2026 issued to the Company by the Commission under COBO (the </w:t>
            </w:r>
            <w:r>
              <w:rPr>
                <w:rFonts w:ascii="Times New Roman" w:hAnsi="Times New Roman"/>
                <w:b/>
                <w:sz w:val="20"/>
              </w:rPr>
              <w:t>Article 4 Consent</w:t>
            </w:r>
            <w:r>
              <w:rPr>
                <w:rFonts w:ascii="Times New Roman" w:hAnsi="Times New Roman"/>
                <w:sz w:val="20"/>
              </w:rPr>
              <w:t xml:space="preserve"> and together with the Article 2 Consent, the </w:t>
            </w:r>
            <w:r>
              <w:rPr>
                <w:rFonts w:ascii="Times New Roman" w:hAnsi="Times New Roman"/>
                <w:b/>
                <w:sz w:val="20"/>
              </w:rPr>
              <w:t>COBO Consents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to circulate a UK prospectus dated 10 April 2026 (effective on and from 13 April 2026) issued to the Company by the Commission under the Companies (General Provisions) (Jersey) Order 2002, as amended (the </w:t>
            </w:r>
            <w:r>
              <w:rPr>
                <w:rFonts w:ascii="Times New Roman" w:hAnsi="Times New Roman"/>
                <w:b/>
                <w:sz w:val="20"/>
              </w:rPr>
              <w:t>GPO Consent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opinion, we have, with the consent of the Company, relied upon certificates and other assurances of directors and other officers of the Company as to matters of fact, without having independently verified such factual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opinion, we have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examined any other document relating to the EIPs or the Replacement Awards (including, without limitation, any document incorporated by reference in, or otherwise referred to in, the Replacement Award Deed, Plans, and/or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undertaken any exercise that is not described in this opinion and, in particular, we have not conducted any searches or enquiries in relation to the Company at any public office or registry in Jersey.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Assumptions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opinion, we have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Plans have been properly adopted and duly authorised by Wise plc and/or Wise Group plc and that each EIP has been, and will at all times be, (i) operated in accordance with its rules and (ii) legal, valid, binding and enforceable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existing or future Plan Shares to be issued or transferred under any EIPs have or will be duly authorised by the board of directors of the Company (or a duly authorised committee thereof or a duly authorised person or persons appointed by the board of directors as an administrator of the EIPs) and issued or transferred in accordance with the M&amp;A;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authenticity, accuracy, completeness and conformity to original documents of all copy documents, memoranda, extracts and certificates of officers of the Company examined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signatures on all documents examined by us are the genuine signatures of persons authorised to execute or certify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completeness in every respect of all certificates of directors or other officers of the Company given to us for the purposes of giving this Opinion and that (where relevant) such certificates would be accurate if they have been given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 approving the Company’s entry into the Replacement Award Deed and the transactions contemplated by them, the directors of the Company were acting in the best interests of the Company and for a proper purpose;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words and phrases used in the Registration Statement have the same meaning and effect as they would if the Registration Statement were governed by Jersey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other event occurs after the date hereof which would affect the opinions herein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there is no provision of the law or regulation of any jurisdiction other than Jersey which would have any adverse implication in relation to the opinion expressed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no amendments made to the COBO Consents and GPO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rPr>
              <w:t>Opinion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matter of Jersey law, and on the basis of and subject to the foregoing and the qualifications below, we are of the opinion that, in relation to the Plan Shares were or will be allotted and issued, or transferred, to a participant under the relevant EIP in settlement of the that participant’s award, upon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in full by the Company of all amounts payable by a relevant participant under an EIP in respect of that participant’s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of any relevant share transfer form in respect of any Plan Shares being transferred to a participant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of the name of that participant as the holder of those Plan Shares in the register of members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those Plan Shares will be validly issued, fully paid and non-assessable and, in respect of any transfer of Plan Shares in satisfaction of an award, validly transferred.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is subject to the following 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the Company under, or in respect of, the Plan Shares will be subject to any law from time to time in force relating to bankruptcy, insolvency, liquidation, reorganisation or administration or any other law or legal procedure affecting generally the enforcement of creditors’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Governing Law, Limitations, Benefit and Disclosure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shall be governed by and construed in accordance with the laws of Jersey and is limited to the matters expressly stated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limited to matters of Jersey law and practice as at the date hereof and we have made no investigation and express no opinion with respect to the law or practice of any 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assume no obligation to advise you (to any other person who may rely on this Opinion in accordance with this paragraph), or undertake any investigations, as to any legal developments or factual matters arising after the date of the Opinion that might affect the opinions expressed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consent to the filing of a copy of this opinion as Exhibit 5.1 to the Registration Statement and to reference to us being made in the Registration Statement. In giving this consent, we do not admit that we are included in the category of persons whose consent is required under Section 7 of the Securities Act or the rules and regulations promulgated by the US Securities and Exchange Commission under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b/>
          <w:sz w:val="20"/>
        </w:rPr>
        <w:t>Ogier (Jersey) LLP</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Ogier (Jersey)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sz w:val="20"/>
        </w:rPr>
      </w:pPr>
      <w:bookmarkStart w:id="16" w:name="d28145dex231.htm"/>
      <w:bookmarkStart w:id="17" w:name="ksd28145dex231"/>
      <w:bookmarkEnd w:id="16"/>
      <w:bookmarkEnd w:id="17"/>
      <w:r>
        <w:rPr>
          <w:rFonts w:ascii="Times New Roman" w:hAnsi="Times New Roman"/>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Wise Group plc of our report dated June 25, 2026 relating to the financial statements, which appears in Wise Group plc’s Annual Report on Form 20-F for the year ended March 31, 2026.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London, United Kingdom </w:t>
      </w:r>
    </w:p>
    <w:p>
      <w:pPr>
        <w:pStyle w:val="TextBody"/>
        <w:bidi w:val="0"/>
        <w:spacing w:before="0" w:after="0"/>
        <w:jc w:val="left"/>
        <w:rPr>
          <w:rFonts w:ascii="Times New Roman" w:hAnsi="Times New Roman"/>
          <w:sz w:val="20"/>
        </w:rPr>
      </w:pPr>
      <w:r>
        <w:rPr>
          <w:rFonts w:ascii="Times New Roman" w:hAnsi="Times New Roman"/>
          <w:sz w:val="20"/>
        </w:rPr>
        <w:t xml:space="preserve">July 13, 2026 </w:t>
      </w:r>
    </w:p>
    <w:p>
      <w:pPr>
        <w:pStyle w:val="Normal"/>
        <w:bidi w:val="0"/>
        <w:spacing w:before="0" w:after="0"/>
        <w:jc w:val="left"/>
        <w:rPr>
          <w:sz w:val="4"/>
          <w:szCs w:val="4"/>
        </w:rPr>
      </w:pPr>
      <w:r>
        <w:rPr>
          <w:sz w:val="4"/>
          <w:szCs w:val="4"/>
        </w:rPr>
      </w:r>
      <w:bookmarkStart w:id="18" w:name="d28145dexfilingfees.htm"/>
      <w:bookmarkStart w:id="19" w:name="ksd28145dexfilingfees"/>
      <w:bookmarkStart w:id="20" w:name="d28145dexfilingfees.htm"/>
      <w:bookmarkStart w:id="21" w:name="ksd28145dexfilingfees"/>
      <w:bookmarkEnd w:id="20"/>
      <w:bookmarkEnd w:id="21"/>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Wise Group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74" w:type="dxa"/>
        <w:jc w:val="left"/>
        <w:tblInd w:w="0" w:type="dxa"/>
        <w:tblLayout w:type="fixed"/>
        <w:tblCellMar>
          <w:top w:w="28" w:type="dxa"/>
          <w:left w:w="28" w:type="dxa"/>
          <w:bottom w:w="28" w:type="dxa"/>
          <w:right w:w="28" w:type="dxa"/>
        </w:tblCellMar>
      </w:tblPr>
      <w:tblGrid>
        <w:gridCol w:w="241"/>
        <w:gridCol w:w="946"/>
        <w:gridCol w:w="1381"/>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Class A ordinary shares, par value $0.01, Rules of the TransferWise 2021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1,797,631 </w:t>
            </w:r>
          </w:p>
        </w:tc>
        <w:tc>
          <w:tcPr>
            <w:tcW w:w="1156" w:type="dxa"/>
            <w:tcBorders/>
            <w:shd w:fill="E7E7E2" w:val="clear"/>
            <w:vAlign w:val="center"/>
          </w:tcPr>
          <w:p>
            <w:pPr>
              <w:pStyle w:val="TableContents"/>
              <w:bidi w:val="0"/>
              <w:spacing w:before="0" w:after="283"/>
              <w:jc w:val="right"/>
              <w:rPr/>
            </w:pPr>
            <w:r>
              <w:rPr/>
              <w:t xml:space="preserve">$ 12.92 </w:t>
            </w:r>
          </w:p>
        </w:tc>
        <w:tc>
          <w:tcPr>
            <w:tcW w:w="1666" w:type="dxa"/>
            <w:tcBorders/>
            <w:shd w:fill="E7E7E2" w:val="clear"/>
            <w:vAlign w:val="center"/>
          </w:tcPr>
          <w:p>
            <w:pPr>
              <w:pStyle w:val="TableContents"/>
              <w:bidi w:val="0"/>
              <w:spacing w:before="0" w:after="283"/>
              <w:jc w:val="right"/>
              <w:rPr/>
            </w:pPr>
            <w:r>
              <w:rPr/>
              <w:t xml:space="preserve">$ 23,225,392.52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$ 3,207.43 </w:t>
            </w:r>
          </w:p>
        </w:tc>
      </w:tr>
      <w:tr>
        <w:trPr/>
        <w:tc>
          <w:tcPr>
            <w:tcW w:w="503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2" w:name="MaxAggtOfferingPrice"/>
            <w:bookmarkEnd w:id="22"/>
            <w:r>
              <w:rPr/>
              <w:t xml:space="preserve">$ 23,225,392.52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3" w:name="TotalFeeAmt"/>
            <w:bookmarkEnd w:id="23"/>
            <w:r>
              <w:rPr/>
              <w:t xml:space="preserve">$ 3,207.43 </w:t>
            </w:r>
          </w:p>
        </w:tc>
      </w:tr>
      <w:tr>
        <w:trPr/>
        <w:tc>
          <w:tcPr>
            <w:tcW w:w="503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24" w:name="TotalOffsetAmt"/>
            <w:bookmarkEnd w:id="24"/>
            <w:r>
              <w:rPr/>
              <w:t xml:space="preserve">$ 0.00 </w:t>
            </w:r>
          </w:p>
        </w:tc>
      </w:tr>
      <w:tr>
        <w:trPr/>
        <w:tc>
          <w:tcPr>
            <w:tcW w:w="503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25" w:name="NetFeeAmt"/>
            <w:bookmarkEnd w:id="25"/>
            <w:r>
              <w:rPr/>
              <w:t xml:space="preserve">$ 3,207.43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Pursuant to Rule 416(a) promulgated under the Securities Act of 1933, as amended (the "Securities Act"), this Registration Statement shall also cover any additional Class A ordinary shares, par value $0.01 ("Class A Ordinary Shares") of Wise Group plc (the "Registrant") that become issuable under the plans set forth herein by reason of any stock dividend, stock split, recapitalization, or other similar transaction effected that results in an increase to the number of outstanding Class A Ordinary Shares. 1.b. The price per share and aggregate offering price are estimated solely for the purpose of calculating the registration fee pursuant to Rule 457(c) and Rule 457(h) under the Securities Act and are calculated based upon the average of the high and low prices of the Registrant's Class A Ordinary Shares on July 8, 2026 as reported on the Nasdaq Global Select Market. 1.c. Amount Registered consists of shares of Class A Ordinary Shares issued or issuable to certain current and former employees of the Registrant upon the settlement of outstanding RSUs under the Registrant's Rules of the TransferWise 2021 Equity Incentive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2099039/000119312526282911/d17323d20f.htm" TargetMode="External"/><Relationship Id="rId4" Type="http://schemas.openxmlformats.org/officeDocument/2006/relationships/hyperlink" Target="http://www.sec.gov/Archives/edgar/data/2099039/000119312526282911/d17323dex21.htm" TargetMode="External"/><Relationship Id="rId5" Type="http://schemas.openxmlformats.org/officeDocument/2006/relationships/hyperlink" Target="http://www.sec.gov/Archives/edgar/data/../../../ix?doc=/Archives/edgar/data/2099039/000119312526282911/d17323d20f.htm" TargetMode="External"/><Relationship Id="rId6" Type="http://schemas.openxmlformats.org/officeDocument/2006/relationships/hyperlink" Target="http://www.sec.gov/Archives/edgar/data/2099039/000119312526282911/d17323dex21.htm" TargetMode="External"/><Relationship Id="rId7" Type="http://schemas.openxmlformats.org/officeDocument/2006/relationships/hyperlink" Target="http://www.sec.gov/Archives/edgar/data/2099039/000119312526282911/d17323dex11.htm" TargetMode="External"/><Relationship Id="rId8" Type="http://schemas.openxmlformats.org/officeDocument/2006/relationships/hyperlink" Target="http://www.sec.gov/Archives/edgar/data/2099039/000119312526151439/d19735dex44.htm" TargetMode="External"/><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10098</Words>
  <Characters>54844</Characters>
  <CharactersWithSpaces>65180</CharactersWithSpaces>
  <Paragraphs>1049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