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72026_070701.xml.htm"/>
      <w:bookmarkStart w:id="1" w:name="ksform407172026_0707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Peiris Nilan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WISE GROUP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1ST FLOOR WORSHIP SQ., 65 CLIFTON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EC2A 4JE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Wise Group plc</w:t>
              </w:r>
            </w:hyperlink>
            <w:r>
              <w:rPr/>
              <w:t xml:space="preserve"> [ </w:t>
            </w:r>
            <w:r>
              <w:rPr>
                <w:rFonts w:ascii="Times;serif" w:hAnsi="Times;serif"/>
                <w:color w:val="0000FF"/>
                <w:sz w:val="24"/>
                <w:shd w:fill="FFFFFF" w:val="clear"/>
              </w:rPr>
              <w:t>WSE</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Product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9"/>
        <w:gridCol w:w="902"/>
        <w:gridCol w:w="773"/>
        <w:gridCol w:w="599"/>
        <w:gridCol w:w="344"/>
        <w:gridCol w:w="1007"/>
        <w:gridCol w:w="442"/>
        <w:gridCol w:w="748"/>
        <w:gridCol w:w="1263"/>
        <w:gridCol w:w="982"/>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105,240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2,469,461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58,262</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12.86</w:t>
            </w:r>
            <w:r>
              <w:rPr/>
              <w:t xml:space="preserve"> </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2,411,199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B Ordinary Shares</w:t>
            </w:r>
            <w:r>
              <w:rPr>
                <w:rFonts w:ascii="Times;serif" w:hAnsi="Times;serif"/>
                <w:color w:val="008000"/>
                <w:position w:val="7"/>
                <w:sz w:val="16"/>
                <w:sz w:val="20"/>
                <w:shd w:fill="FFFFFF" w:val="clear"/>
              </w:rPr>
              <w:t>(2)</w:t>
            </w:r>
            <w:r>
              <w:rPr/>
              <w:t xml:space="preserve"> </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1,125,790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131,548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236,789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26,310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342,022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("RSUs") represents a contingent right to receive one Issuer Class A Ordinary Share or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Class B ordinary share corresponds to a Class A ordinary share and will be automatically cancelled upon the sale or other transfer of the corresponding Class A ordinary share or as otherwise provided in the Issuer's articles of association.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was previously granted 52,619 RSUs, vesting in two equal installments on July 15, 2026 and October 15, 2026, subject to the reporting person's continuous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was previously granted 157,858 RSUs, vesting in six equal quarterly installments beginning on July 15, 2026, subject to the reporting person's continuous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was previously granted 263,099 RSUs, vesting in ten equal quarterly installments beginning on July 15, 2026, subject to the reporting person's continuous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was previously granted 368,332 RSUs, vesting in fourteen equal quarterly installments beginning on July 15, 2026, subject to the reporting person's continuous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Nameeta Pai,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1390" TargetMode="External"/><Relationship Id="rId5" Type="http://schemas.openxmlformats.org/officeDocument/2006/relationships/hyperlink" Target="http://www.sec.gov/cgi-bin/browse-edgar?action=getcompany&amp;CIK=0002099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846</Words>
  <Characters>4576</Characters>
  <CharactersWithSpaces>5311</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