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r>
        <w:rPr/>
      </w:r>
      <w:bookmarkStart w:id="0" w:name="a6647v.htm"/>
      <w:bookmarkStart w:id="1" w:name="ksa6647v"/>
      <w:bookmarkStart w:id="2" w:name="a6647v.htm"/>
      <w:bookmarkStart w:id="3" w:name="ksa6647v"/>
      <w:bookmarkEnd w:id="2"/>
      <w:bookmarkEnd w:id="3"/>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22 September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7820" w:type="dxa"/>
        <w:jc w:val="left"/>
        <w:tblInd w:w="0" w:type="dxa"/>
        <w:tblLayout w:type="fixed"/>
        <w:tblCellMar>
          <w:top w:w="0" w:type="dxa"/>
          <w:left w:w="0" w:type="dxa"/>
          <w:bottom w:w="0" w:type="dxa"/>
          <w:right w:w="0" w:type="dxa"/>
        </w:tblCellMar>
      </w:tblPr>
      <w:tblGrid>
        <w:gridCol w:w="995"/>
        <w:gridCol w:w="6825"/>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682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p>
            <w:pPr>
              <w:pStyle w:val="TableContents"/>
              <w:bidi w:val="0"/>
              <w:spacing w:before="0" w:after="0"/>
              <w:ind w:left="0" w:right="6750" w:hanging="0"/>
              <w:jc w:val="center"/>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6825"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22 September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Wise Group plc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Transaction in Own Shares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Wise Group plc (the "Company") announces that from 14 September 2026 up to and including 18 September 2026 it repurchased a total of (i) 842,561 of its Class A ordinary shares on Nasdaq and/or other applicable US trading venues and (ii) 1,145,131 of its Class A ordinary shares on the London Stock Exchange and other in both cases through Goldman Sachs International or one of its affiliates, as detailed below.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repurchased Class A ordinary shares will be held in treasury.</w:t>
      </w:r>
    </w:p>
    <w:p>
      <w:pPr>
        <w:pStyle w:val="TextBody"/>
        <w:bidi w:val="0"/>
        <w:spacing w:before="0" w:after="0"/>
        <w:ind w:left="0" w:right="0" w:hanging="0"/>
        <w:jc w:val="left"/>
        <w:rPr>
          <w:color w:val="000000"/>
        </w:rPr>
      </w:pPr>
      <w:r>
        <w:rPr>
          <w:color w:val="000000"/>
        </w:rPr>
        <w:t> </w:t>
      </w:r>
    </w:p>
    <w:tbl>
      <w:tblPr>
        <w:tblW w:w="10205" w:type="dxa"/>
        <w:jc w:val="left"/>
        <w:tblInd w:w="0" w:type="dxa"/>
        <w:tblLayout w:type="fixed"/>
        <w:tblCellMar>
          <w:top w:w="28" w:type="dxa"/>
          <w:left w:w="28" w:type="dxa"/>
          <w:bottom w:w="0" w:type="dxa"/>
          <w:right w:w="0" w:type="dxa"/>
        </w:tblCellMar>
      </w:tblPr>
      <w:tblGrid>
        <w:gridCol w:w="770"/>
        <w:gridCol w:w="2876"/>
        <w:gridCol w:w="2380"/>
        <w:gridCol w:w="1568"/>
        <w:gridCol w:w="1545"/>
        <w:gridCol w:w="1066"/>
      </w:tblGrid>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Date</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Aggregate number of Class A ordinary shares purchased</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Volume weighted average price paid per share</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Highest price paid per share</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Lowest price paid per share</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b/>
                <w:sz w:val="20"/>
              </w:rPr>
            </w:pPr>
            <w:r>
              <w:rPr>
                <w:rFonts w:ascii="Times New Roman" w:hAnsi="Times New Roman"/>
                <w:b/>
                <w:sz w:val="20"/>
              </w:rPr>
              <w:t>Trading venue</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2026-09-14</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81,770</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8.9921</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9.0580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8.9420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XLON</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2026-09-14</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99,031</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12.1248</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12.2250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12.0100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NASDAQ</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2026-09-15</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125,056</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8.7365</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8.8240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8.6420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XLON</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2026-09-15</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89,535</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8.7441</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8.8160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8.6440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CHIX</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2026-09-15</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101,533</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8.7368</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8.8160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8.6420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BATE</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2026-09-15</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200,000</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11.7338</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11.9100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11.6000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NASDAQ</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2026-09-16</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108,106</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8.6916</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8.7680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8.5740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XLON</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2026-09-16</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106,000</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8.6962</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8.7580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8.5780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CHIX</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2026-09-16</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49,633</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8.6955</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8.7600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8.5760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BATE</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2026-09-16</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196,684</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11.6950</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11.8000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11.6150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NASDAQ</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2026-09-17</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133,590</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8.7802</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8.8760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8.6760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XLON</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2026-09-17</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104,000</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8.7888</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8.8760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8.6740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CHIX</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2026-09-17</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60,559</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8.7890</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8.8700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8.6800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BATE</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2026-09-17</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196,846</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11.7844</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11.8800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11.7100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NASDAQ</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2026-09-18</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79,471</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8.6961</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8.7460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8.6360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XLON</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2026-09-18</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70,923</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8.6948</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8.7460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8.6400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CHIX</w:t>
            </w:r>
          </w:p>
        </w:tc>
      </w:tr>
      <w:tr>
        <w:trPr/>
        <w:tc>
          <w:tcPr>
            <w:tcW w:w="77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2026-09-18</w:t>
            </w:r>
          </w:p>
        </w:tc>
        <w:tc>
          <w:tcPr>
            <w:tcW w:w="2876"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34,955</w:t>
            </w:r>
          </w:p>
        </w:tc>
        <w:tc>
          <w:tcPr>
            <w:tcW w:w="2380"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8.6974</w:t>
            </w:r>
          </w:p>
        </w:tc>
        <w:tc>
          <w:tcPr>
            <w:tcW w:w="1568"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8.7460</w:t>
            </w:r>
          </w:p>
        </w:tc>
        <w:tc>
          <w:tcPr>
            <w:tcW w:w="1545" w:type="dxa"/>
            <w:tcBorders>
              <w:top w:val="single" w:sz="2" w:space="0" w:color="000000"/>
              <w:left w:val="single" w:sz="2" w:space="0" w:color="000000"/>
            </w:tcBorders>
            <w:shd w:fill="FFFFFF" w:val="cle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GBP 8.6460</w:t>
            </w:r>
          </w:p>
        </w:tc>
        <w:tc>
          <w:tcPr>
            <w:tcW w:w="1066" w:type="dxa"/>
            <w:tcBorders>
              <w:top w:val="single" w:sz="2" w:space="0" w:color="000000"/>
              <w:left w:val="single" w:sz="2" w:space="0" w:color="000000"/>
              <w:right w:val="single" w:sz="2"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BATE</w:t>
            </w:r>
          </w:p>
        </w:tc>
      </w:tr>
      <w:tr>
        <w:trPr/>
        <w:tc>
          <w:tcPr>
            <w:tcW w:w="770" w:type="dxa"/>
            <w:tcBorders>
              <w:top w:val="single" w:sz="2" w:space="0" w:color="000000"/>
              <w:left w:val="single" w:sz="2" w:space="0" w:color="000000"/>
              <w:bottom w:val="single" w:sz="2" w:space="0" w:color="000000"/>
            </w:tcBorders>
            <w:shd w:fill="FFFFFF" w:val="clear"/>
            <w:tcMar>
              <w:bottom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2026-09-18</w:t>
            </w:r>
          </w:p>
        </w:tc>
        <w:tc>
          <w:tcPr>
            <w:tcW w:w="2876" w:type="dxa"/>
            <w:tcBorders>
              <w:top w:val="single" w:sz="2" w:space="0" w:color="000000"/>
              <w:left w:val="single" w:sz="2" w:space="0" w:color="000000"/>
              <w:bottom w:val="single" w:sz="2" w:space="0" w:color="000000"/>
            </w:tcBorders>
            <w:shd w:fill="FFFFFF" w:val="clear"/>
            <w:tcMar>
              <w:bottom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150,000</w:t>
            </w:r>
          </w:p>
        </w:tc>
        <w:tc>
          <w:tcPr>
            <w:tcW w:w="2380" w:type="dxa"/>
            <w:tcBorders>
              <w:top w:val="single" w:sz="2" w:space="0" w:color="000000"/>
              <w:left w:val="single" w:sz="2" w:space="0" w:color="000000"/>
              <w:bottom w:val="single" w:sz="2" w:space="0" w:color="000000"/>
            </w:tcBorders>
            <w:shd w:fill="FFFFFF" w:val="clear"/>
            <w:tcMar>
              <w:bottom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11.5789</w:t>
            </w:r>
          </w:p>
        </w:tc>
        <w:tc>
          <w:tcPr>
            <w:tcW w:w="1568" w:type="dxa"/>
            <w:tcBorders>
              <w:top w:val="single" w:sz="2" w:space="0" w:color="000000"/>
              <w:left w:val="single" w:sz="2" w:space="0" w:color="000000"/>
              <w:bottom w:val="single" w:sz="2" w:space="0" w:color="000000"/>
            </w:tcBorders>
            <w:shd w:fill="FFFFFF" w:val="clear"/>
            <w:tcMar>
              <w:bottom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11.6800</w:t>
            </w:r>
          </w:p>
        </w:tc>
        <w:tc>
          <w:tcPr>
            <w:tcW w:w="1545" w:type="dxa"/>
            <w:tcBorders>
              <w:top w:val="single" w:sz="2" w:space="0" w:color="000000"/>
              <w:left w:val="single" w:sz="2" w:space="0" w:color="000000"/>
              <w:bottom w:val="single" w:sz="2" w:space="0" w:color="000000"/>
            </w:tcBorders>
            <w:shd w:fill="FFFFFF" w:val="clear"/>
            <w:tcMar>
              <w:bottom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USD 11.4950</w:t>
            </w:r>
          </w:p>
        </w:tc>
        <w:tc>
          <w:tcPr>
            <w:tcW w:w="1066" w:type="dxa"/>
            <w:tcBorders>
              <w:top w:val="single" w:sz="6" w:space="0" w:color="000000"/>
              <w:left w:val="single" w:sz="6" w:space="0" w:color="000000"/>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0"/>
              <w:ind w:left="0" w:right="15" w:hanging="0"/>
              <w:jc w:val="center"/>
              <w:rPr>
                <w:rFonts w:ascii="Times New Roman" w:hAnsi="Times New Roman"/>
                <w:sz w:val="20"/>
              </w:rPr>
            </w:pPr>
            <w:r>
              <w:rPr>
                <w:rFonts w:ascii="Times New Roman" w:hAnsi="Times New Roman"/>
                <w:sz w:val="20"/>
              </w:rPr>
              <w:t>NASDAQ</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http://www.rns-pdf.londonstockexchange.com/rns/6643V_1-2026-9-21.pdf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Enquiries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Brunswick Group</w:t>
      </w:r>
    </w:p>
    <w:p>
      <w:pPr>
        <w:pStyle w:val="TextBody"/>
        <w:bidi w:val="0"/>
        <w:spacing w:before="0" w:after="0"/>
        <w:ind w:left="0" w:right="0" w:hanging="0"/>
        <w:jc w:val="left"/>
        <w:rPr>
          <w:rFonts w:ascii="Times New Roman" w:hAnsi="Times New Roman"/>
          <w:sz w:val="20"/>
        </w:rPr>
      </w:pPr>
      <w:r>
        <w:rPr>
          <w:rFonts w:ascii="Times New Roman" w:hAnsi="Times New Roman"/>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sz w:val="20"/>
        </w:rPr>
      </w:pPr>
      <w:r>
        <w:rPr>
          <w:rFonts w:ascii="Times New Roman" w:hAnsi="Times New Roman"/>
          <w:sz w:val="20"/>
        </w:rPr>
        <w:t>+44 (0) 20 7404 5959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About Wise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Wise is a global technology company, building the best way to move and manage the world's money.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995" w:type="dxa"/>
        <w:jc w:val="left"/>
        <w:tblInd w:w="0" w:type="dxa"/>
        <w:tblLayout w:type="fixed"/>
        <w:tblCellMar>
          <w:top w:w="0" w:type="dxa"/>
          <w:left w:w="0" w:type="dxa"/>
          <w:bottom w:w="0" w:type="dxa"/>
          <w:right w:w="0" w:type="dxa"/>
        </w:tblCellMar>
      </w:tblPr>
      <w:tblGrid>
        <w:gridCol w:w="2135"/>
        <w:gridCol w:w="60"/>
        <w:gridCol w:w="60"/>
        <w:gridCol w:w="60"/>
        <w:gridCol w:w="545"/>
        <w:gridCol w:w="60"/>
        <w:gridCol w:w="2075"/>
      </w:tblGrid>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213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22 September,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3700</Characters>
  <CharactersWithSpaces>4300</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