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a0475q.htm"/>
      <w:bookmarkStart w:id="1" w:name="ksa0475q"/>
      <w:bookmarkStart w:id="2" w:name="a0475q.htm"/>
      <w:bookmarkStart w:id="3" w:name="ksa0475q"/>
      <w:bookmarkEnd w:id="2"/>
      <w:bookmarkEnd w:id="3"/>
    </w:p>
    <w:tbl>
      <w:tblPr>
        <w:tblW w:w="53" w:type="dxa"/>
        <w:jc w:val="left"/>
        <w:tblInd w:w="0" w:type="dxa"/>
        <w:tblLayout w:type="fixed"/>
        <w:tblCellMar>
          <w:top w:w="28" w:type="dxa"/>
          <w:left w:w="0" w:type="dxa"/>
          <w:bottom w:w="28" w:type="dxa"/>
          <w:right w:w="0" w:type="dxa"/>
        </w:tblCellMar>
      </w:tblPr>
      <w:tblGrid>
        <w:gridCol w:w="53"/>
      </w:tblGrid>
      <w:tr>
        <w:trPr/>
        <w:tc>
          <w:tcPr>
            <w:tcW w:w="53" w:type="dxa"/>
            <w:tcBorders>
              <w:top w:val="single" w:sz="8" w:space="0" w:color="000000"/>
              <w:bottom w:val="single" w:sz="12" w:space="0" w:color="000000"/>
            </w:tcBorders>
            <w:vAlign w:val="center"/>
          </w:tcPr>
          <w:p>
            <w:pPr>
              <w:pStyle w:val="TableContents"/>
              <w:bidi w:val="0"/>
              <w:spacing w:before="0" w:after="283"/>
              <w:jc w:val="left"/>
              <w:rPr/>
            </w:pPr>
            <w:r>
              <w:rPr/>
            </w:r>
          </w:p>
        </w:tc>
      </w:tr>
    </w:tbl>
    <w:p>
      <w:pPr>
        <w:pStyle w:val="TextBody"/>
        <w:bidi w:val="0"/>
        <w:spacing w:before="0" w:after="0"/>
        <w:jc w:val="left"/>
        <w:rPr/>
      </w:pPr>
      <w:r>
        <w:rPr/>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b/>
          <w:sz w:val="36"/>
        </w:rPr>
      </w:pPr>
      <w:r>
        <w:rPr>
          <w:rFonts w:ascii="Times New Roman" w:hAnsi="Times New Roman"/>
          <w:b/>
          <w:sz w:val="36"/>
        </w:rPr>
        <w:t>UNITED STATES</w:t>
      </w:r>
    </w:p>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Washington D.C. 20549</w:t>
      </w:r>
    </w:p>
    <w:p>
      <w:pPr>
        <w:pStyle w:val="TextBody"/>
        <w:bidi w:val="0"/>
        <w:spacing w:before="0" w:after="0"/>
        <w:ind w:left="0" w:right="0" w:hanging="0"/>
        <w:jc w:val="center"/>
        <w:rPr/>
      </w:pPr>
      <w:r>
        <w:rPr/>
        <w:t> </w:t>
      </w:r>
    </w:p>
    <w:p>
      <w:pPr>
        <w:pStyle w:val="TextBody"/>
        <w:bidi w:val="0"/>
        <w:spacing w:before="0" w:after="90"/>
        <w:jc w:val="both"/>
        <w:rPr>
          <w:shd w:fill="000000" w:val="clear"/>
        </w:rPr>
      </w:pPr>
      <w:r>
        <w:rPr>
          <w:shd w:fill="000000" w:val="clear"/>
        </w:rPr>
      </w:r>
    </w:p>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pPr>
            <w:r>
              <w:rPr/>
            </w:r>
          </w:p>
        </w:tc>
      </w:tr>
    </w:tbl>
    <w:p>
      <w:pPr>
        <w:pStyle w:val="TextBody"/>
        <w:bidi w:val="0"/>
        <w:spacing w:before="0" w:after="0"/>
        <w:ind w:left="0" w:right="0" w:hanging="0"/>
        <w:jc w:val="center"/>
        <w:rPr>
          <w:rFonts w:ascii="Times New Roman" w:hAnsi="Times New Roman"/>
          <w:b/>
          <w:sz w:val="36"/>
        </w:rPr>
      </w:pPr>
      <w:r>
        <w:rPr>
          <w:rFonts w:ascii="Times New Roman" w:hAnsi="Times New Roman"/>
          <w:b/>
          <w:sz w:val="36"/>
        </w:rPr>
        <w:t>FORM 6-K</w:t>
      </w:r>
    </w:p>
    <w:p>
      <w:pPr>
        <w:pStyle w:val="TextBody"/>
        <w:bidi w:val="0"/>
        <w:spacing w:before="0" w:after="0"/>
        <w:ind w:left="0" w:right="0" w:hanging="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0"/>
              <w:jc w:val="left"/>
              <w:rPr/>
            </w:pPr>
            <w:r>
              <w:rPr/>
              <w:t> </w:t>
            </w:r>
          </w:p>
        </w:tc>
      </w:tr>
    </w:tbl>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REPORT OF FOREIGN PRIVATE ISSUER</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PURSUANT TO RULE 13a-16 OR 15d-16</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UNDER THE SECURITIES EXCHANGE ACT OF 1934</w:t>
      </w:r>
    </w:p>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Date: 11 August 2026</w:t>
      </w:r>
    </w:p>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Commission File Number: 001-43229</w:t>
      </w:r>
    </w:p>
    <w:p>
      <w:pPr>
        <w:pStyle w:val="TextBody"/>
        <w:bidi w:val="0"/>
        <w:spacing w:before="0" w:after="0"/>
        <w:ind w:left="0" w:right="0" w:hanging="0"/>
        <w:jc w:val="center"/>
        <w:rPr/>
      </w:pPr>
      <w:r>
        <w:rPr/>
        <w:t> </w:t>
      </w:r>
    </w:p>
    <w:p>
      <w:pPr>
        <w:pStyle w:val="TextBody"/>
        <w:bidi w:val="0"/>
        <w:spacing w:before="0" w:after="0"/>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0"/>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b/>
          <w:sz w:val="24"/>
        </w:rPr>
      </w:pPr>
      <w:r>
        <w:rPr>
          <w:rFonts w:ascii="Times New Roman" w:hAnsi="Times New Roman"/>
          <w:b/>
          <w:sz w:val="24"/>
        </w:rPr>
        <w:t>Wise Group plc</w:t>
      </w:r>
    </w:p>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(Translation of registrant’s name into English)</w:t>
      </w:r>
    </w:p>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1st Floor, Worship Square</w:t>
      </w:r>
    </w:p>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65 Clifton Street</w:t>
      </w:r>
    </w:p>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London EC2A 4JE</w:t>
      </w:r>
    </w:p>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United Kingdom</w:t>
      </w:r>
    </w:p>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(Address of Principal Executive Office)</w:t>
      </w:r>
    </w:p>
    <w:p>
      <w:pPr>
        <w:pStyle w:val="TextBody"/>
        <w:bidi w:val="0"/>
        <w:spacing w:before="0" w:after="0"/>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0"/>
              <w:jc w:val="left"/>
              <w:rPr/>
            </w:pPr>
            <w:r>
              <w:rPr/>
              <w:t> </w:t>
            </w:r>
          </w:p>
        </w:tc>
      </w:tr>
    </w:tbl>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Indicate by check mark whether the registrant files or will file annual reports under cover of Form 20-F or Form 40-F:</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Form 20-F ☒   Form 40-F ☐</w:t>
      </w:r>
    </w:p>
    <w:p>
      <w:pPr>
        <w:pStyle w:val="TextBody"/>
        <w:bidi w:val="0"/>
        <w:spacing w:before="0" w:after="0"/>
        <w:jc w:val="left"/>
        <w:rPr/>
      </w:pPr>
      <w:r>
        <w:rPr/>
        <w:t> </w:t>
      </w:r>
    </w:p>
    <w:p>
      <w:pPr>
        <w:pStyle w:val="TextBody"/>
        <w:bidi w:val="0"/>
        <w:spacing w:before="0" w:after="0"/>
        <w:jc w:val="left"/>
        <w:rPr/>
      </w:pPr>
      <w:r>
        <w:rPr/>
      </w:r>
    </w:p>
    <w:tbl>
      <w:tblPr>
        <w:tblW w:w="53" w:type="dxa"/>
        <w:jc w:val="left"/>
        <w:tblInd w:w="0" w:type="dxa"/>
        <w:tblLayout w:type="fixed"/>
        <w:tblCellMar>
          <w:top w:w="28" w:type="dxa"/>
          <w:left w:w="0" w:type="dxa"/>
          <w:bottom w:w="28" w:type="dxa"/>
          <w:right w:w="0" w:type="dxa"/>
        </w:tblCellMar>
      </w:tblPr>
      <w:tblGrid>
        <w:gridCol w:w="53"/>
      </w:tblGrid>
      <w:tr>
        <w:trPr/>
        <w:tc>
          <w:tcPr>
            <w:tcW w:w="53" w:type="dxa"/>
            <w:tcBorders>
              <w:top w:val="single" w:sz="8" w:space="0" w:color="000000"/>
              <w:bottom w:val="double" w:sz="8" w:space="0" w:color="000000"/>
            </w:tcBorders>
            <w:vAlign w:val="center"/>
          </w:tcPr>
          <w:p>
            <w:pPr>
              <w:pStyle w:val="TableContents"/>
              <w:bidi w:val="0"/>
              <w:spacing w:before="0" w:after="283"/>
              <w:jc w:val="left"/>
              <w:rPr/>
            </w:pPr>
            <w:r>
              <w:rPr/>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EXHIBIT INDEX</w:t>
      </w:r>
    </w:p>
    <w:p>
      <w:pPr>
        <w:pStyle w:val="TextBody"/>
        <w:bidi w:val="0"/>
        <w:spacing w:before="0" w:after="0"/>
        <w:ind w:left="0" w:right="0" w:hanging="0"/>
        <w:jc w:val="both"/>
        <w:rPr/>
      </w:pPr>
      <w:r>
        <w:rPr/>
        <w:t> </w:t>
      </w:r>
    </w:p>
    <w:tbl>
      <w:tblPr>
        <w:tblW w:w="5050" w:type="dxa"/>
        <w:jc w:val="left"/>
        <w:tblInd w:w="0" w:type="dxa"/>
        <w:tblLayout w:type="fixed"/>
        <w:tblCellMar>
          <w:top w:w="0" w:type="dxa"/>
          <w:left w:w="0" w:type="dxa"/>
          <w:bottom w:w="0" w:type="dxa"/>
          <w:right w:w="0" w:type="dxa"/>
        </w:tblCellMar>
      </w:tblPr>
      <w:tblGrid>
        <w:gridCol w:w="1010"/>
        <w:gridCol w:w="4040"/>
      </w:tblGrid>
      <w:tr>
        <w:trPr/>
        <w:tc>
          <w:tcPr>
            <w:tcW w:w="1010" w:type="dxa"/>
            <w:tcBorders/>
            <w:vAlign w:val="center"/>
          </w:tcPr>
          <w:p>
            <w:pPr>
              <w:pStyle w:val="TableContents"/>
              <w:bidi w:val="0"/>
              <w:spacing w:before="0" w:after="0"/>
              <w:ind w:left="0" w:right="0" w:hanging="0"/>
              <w:jc w:val="left"/>
              <w:rPr/>
            </w:pPr>
            <w:r>
              <w:rPr>
                <w:rFonts w:ascii="Times New Roman" w:hAnsi="Times New Roman"/>
                <w:b/>
                <w:sz w:val="20"/>
              </w:rPr>
              <w:t>Exhibit No</w:t>
            </w:r>
            <w:r>
              <w:rPr/>
              <w:t> </w:t>
            </w:r>
          </w:p>
        </w:tc>
        <w:tc>
          <w:tcPr>
            <w:tcW w:w="4040" w:type="dxa"/>
            <w:tcBorders/>
            <w:vAlign w:val="center"/>
          </w:tcPr>
          <w:p>
            <w:pPr>
              <w:pStyle w:val="TableContents"/>
              <w:bidi w:val="0"/>
              <w:spacing w:before="0" w:after="0"/>
              <w:ind w:left="0" w:right="0" w:hanging="0"/>
              <w:jc w:val="left"/>
              <w:rPr/>
            </w:pPr>
            <w:r>
              <w:rPr>
                <w:rFonts w:ascii="Times New Roman" w:hAnsi="Times New Roman"/>
                <w:b/>
                <w:sz w:val="20"/>
              </w:rPr>
              <w:t>Description</w:t>
            </w:r>
            <w:r>
              <w:rPr/>
              <w:t> </w:t>
            </w:r>
          </w:p>
        </w:tc>
      </w:tr>
      <w:tr>
        <w:trPr/>
        <w:tc>
          <w:tcPr>
            <w:tcW w:w="1010" w:type="dxa"/>
            <w:tcBorders/>
            <w:vAlign w:val="center"/>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99.1</w:t>
            </w:r>
          </w:p>
        </w:tc>
        <w:tc>
          <w:tcPr>
            <w:tcW w:w="404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Transaction in Own Shares dated 11 August 2026</w:t>
            </w:r>
          </w:p>
        </w:tc>
      </w:tr>
    </w:tbl>
    <w:p>
      <w:pPr>
        <w:pStyle w:val="TextBody"/>
        <w:bidi w:val="0"/>
        <w:spacing w:before="0" w:after="0"/>
        <w:ind w:left="0" w:right="0" w:hanging="0"/>
        <w:jc w:val="both"/>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Exhibit 99.1</w:t>
      </w:r>
    </w:p>
    <w:p>
      <w:pPr>
        <w:pStyle w:val="TextBody"/>
        <w:bidi w:val="0"/>
        <w:spacing w:before="0" w:after="0"/>
        <w:ind w:left="0" w:right="0" w:hanging="0"/>
        <w:jc w:val="center"/>
        <w:rPr/>
      </w:pPr>
      <w:r>
        <w:rPr>
          <w:color w:val="000000"/>
        </w:rPr>
        <w:t> </w:t>
      </w:r>
      <w:r>
        <w:rPr>
          <w:rFonts w:ascii="Times New Roman" w:hAnsi="Times New Roman"/>
          <w:b/>
          <w:color w:val="000000"/>
          <w:sz w:val="20"/>
        </w:rPr>
        <w:t>Wise Group plc</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b/>
          <w:color w:val="000000"/>
          <w:sz w:val="20"/>
        </w:rPr>
      </w:pPr>
      <w:r>
        <w:rPr>
          <w:rFonts w:ascii="Times New Roman" w:hAnsi="Times New Roman"/>
          <w:b/>
          <w:color w:val="000000"/>
          <w:sz w:val="20"/>
        </w:rPr>
        <w:t>Transaction in Own Shares</w:t>
      </w:r>
    </w:p>
    <w:p>
      <w:pPr>
        <w:pStyle w:val="TextBody"/>
        <w:bidi w:val="0"/>
        <w:spacing w:before="0" w:after="0"/>
        <w:ind w:left="0" w:right="0" w:hanging="0"/>
        <w:jc w:val="left"/>
        <w:rPr>
          <w:color w:val="000000"/>
        </w:rPr>
      </w:pPr>
      <w:r>
        <w:rPr>
          <w:color w:val="000000"/>
        </w:rPr>
        <w:t> </w:t>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0"/>
        </w:rPr>
        <w:t>Wise Group plc (the "Company") announces that from 03 August 2026 up to and including 07 August 2026 it repurchased a total of (i) 700,000 of its Class A ordinary shares on Nasdaq and/or other applicable US trading venues and (ii) 814,215 of its Class A ordinary shares on the London Stock Exchange and other in both cases through Goldman Sachs International or one of its affiliates, as detailed below.</w:t>
      </w:r>
    </w:p>
    <w:p>
      <w:pPr>
        <w:pStyle w:val="TextBody"/>
        <w:bidi w:val="0"/>
        <w:spacing w:before="0" w:after="0"/>
        <w:ind w:left="0" w:right="0" w:hanging="0"/>
        <w:jc w:val="left"/>
        <w:rPr>
          <w:color w:val="000000"/>
        </w:rPr>
      </w:pPr>
      <w:r>
        <w:rPr>
          <w:color w:val="000000"/>
        </w:rPr>
        <w:t> </w:t>
      </w:r>
    </w:p>
    <w:p>
      <w:pPr>
        <w:pStyle w:val="TextBody"/>
        <w:bidi w:val="0"/>
        <w:spacing w:before="0" w:after="0"/>
        <w:ind w:left="0" w:right="0" w:hanging="0"/>
        <w:jc w:val="left"/>
        <w:rPr>
          <w:rFonts w:ascii="Times New Roman" w:hAnsi="Times New Roman"/>
          <w:color w:val="000000"/>
          <w:sz w:val="20"/>
        </w:rPr>
      </w:pPr>
      <w:r>
        <w:rPr>
          <w:rFonts w:ascii="Times New Roman" w:hAnsi="Times New Roman"/>
          <w:color w:val="000000"/>
          <w:sz w:val="20"/>
        </w:rPr>
        <w:t>The repurchased Class A ordinary shares will be held in treasury.</w:t>
      </w:r>
    </w:p>
    <w:p>
      <w:pPr>
        <w:pStyle w:val="TextBody"/>
        <w:bidi w:val="0"/>
        <w:spacing w:before="0" w:after="0"/>
        <w:ind w:left="0" w:right="0" w:hanging="0"/>
        <w:jc w:val="both"/>
        <w:rPr/>
      </w:pPr>
      <w:r>
        <w:rPr/>
        <w:t> </w:t>
      </w:r>
    </w:p>
    <w:tbl>
      <w:tblPr>
        <w:tblW w:w="10205" w:type="dxa"/>
        <w:jc w:val="left"/>
        <w:tblInd w:w="-5" w:type="dxa"/>
        <w:tblLayout w:type="fixed"/>
        <w:tblCellMar>
          <w:top w:w="28" w:type="dxa"/>
          <w:left w:w="28" w:type="dxa"/>
          <w:bottom w:w="28" w:type="dxa"/>
          <w:right w:w="0" w:type="dxa"/>
        </w:tblCellMar>
      </w:tblPr>
      <w:tblGrid>
        <w:gridCol w:w="770"/>
        <w:gridCol w:w="2876"/>
        <w:gridCol w:w="2380"/>
        <w:gridCol w:w="1568"/>
        <w:gridCol w:w="1545"/>
        <w:gridCol w:w="1066"/>
      </w:tblGrid>
      <w:tr>
        <w:trPr/>
        <w:tc>
          <w:tcPr>
            <w:tcW w:w="770" w:type="dxa"/>
            <w:tcBorders>
              <w:top w:val="single" w:sz="4" w:space="0" w:color="000000"/>
              <w:left w:val="single" w:sz="4" w:space="0" w:color="000000"/>
              <w:bottom w:val="single" w:sz="12" w:space="0" w:color="000000"/>
            </w:tcBorders>
            <w:vAlign w:val="center"/>
          </w:tcPr>
          <w:p>
            <w:pPr>
              <w:pStyle w:val="TableContents"/>
              <w:bidi w:val="0"/>
              <w:spacing w:before="0" w:after="0"/>
              <w:ind w:left="0" w:right="15" w:hanging="0"/>
              <w:jc w:val="center"/>
              <w:rPr>
                <w:rFonts w:ascii="Times New Roman" w:hAnsi="Times New Roman"/>
                <w:b/>
                <w:color w:val="000000"/>
                <w:sz w:val="20"/>
              </w:rPr>
            </w:pPr>
            <w:r>
              <w:rPr>
                <w:rFonts w:ascii="Times New Roman" w:hAnsi="Times New Roman"/>
                <w:b/>
                <w:color w:val="000000"/>
                <w:sz w:val="20"/>
              </w:rPr>
              <w:t>Date</w:t>
            </w:r>
          </w:p>
          <w:p>
            <w:pPr>
              <w:pStyle w:val="TableContents"/>
              <w:bidi w:val="0"/>
              <w:spacing w:before="0" w:after="0"/>
              <w:ind w:left="0" w:right="15" w:hanging="0"/>
              <w:jc w:val="center"/>
              <w:rPr/>
            </w:pPr>
            <w:r>
              <w:rPr/>
              <w:t> </w:t>
            </w:r>
          </w:p>
        </w:tc>
        <w:tc>
          <w:tcPr>
            <w:tcW w:w="2876" w:type="dxa"/>
            <w:tcBorders>
              <w:top w:val="single" w:sz="4" w:space="0" w:color="000000"/>
              <w:left w:val="single" w:sz="4" w:space="0" w:color="000000"/>
              <w:bottom w:val="single" w:sz="12" w:space="0" w:color="000000"/>
            </w:tcBorders>
            <w:vAlign w:val="center"/>
          </w:tcPr>
          <w:p>
            <w:pPr>
              <w:pStyle w:val="TableContents"/>
              <w:bidi w:val="0"/>
              <w:spacing w:before="0" w:after="0"/>
              <w:ind w:left="0" w:right="15" w:hanging="0"/>
              <w:jc w:val="center"/>
              <w:rPr>
                <w:rFonts w:ascii="Times New Roman" w:hAnsi="Times New Roman"/>
                <w:b/>
                <w:color w:val="000000"/>
                <w:sz w:val="20"/>
              </w:rPr>
            </w:pPr>
            <w:r>
              <w:rPr>
                <w:rFonts w:ascii="Times New Roman" w:hAnsi="Times New Roman"/>
                <w:b/>
                <w:color w:val="000000"/>
                <w:sz w:val="20"/>
              </w:rPr>
              <w:t>Aggregate number of Class A ordinary shares purchased</w:t>
            </w:r>
          </w:p>
        </w:tc>
        <w:tc>
          <w:tcPr>
            <w:tcW w:w="2380" w:type="dxa"/>
            <w:tcBorders>
              <w:top w:val="single" w:sz="4" w:space="0" w:color="000000"/>
              <w:left w:val="single" w:sz="4" w:space="0" w:color="000000"/>
              <w:bottom w:val="single" w:sz="12" w:space="0" w:color="000000"/>
            </w:tcBorders>
            <w:vAlign w:val="center"/>
          </w:tcPr>
          <w:p>
            <w:pPr>
              <w:pStyle w:val="TableContents"/>
              <w:bidi w:val="0"/>
              <w:spacing w:before="0" w:after="0"/>
              <w:ind w:left="0" w:right="15" w:hanging="0"/>
              <w:jc w:val="center"/>
              <w:rPr>
                <w:rFonts w:ascii="Times New Roman" w:hAnsi="Times New Roman"/>
                <w:b/>
                <w:color w:val="000000"/>
                <w:sz w:val="20"/>
              </w:rPr>
            </w:pPr>
            <w:r>
              <w:rPr>
                <w:rFonts w:ascii="Times New Roman" w:hAnsi="Times New Roman"/>
                <w:b/>
                <w:color w:val="000000"/>
                <w:sz w:val="20"/>
              </w:rPr>
              <w:t>Volume weighted average price paid per share</w:t>
            </w:r>
          </w:p>
        </w:tc>
        <w:tc>
          <w:tcPr>
            <w:tcW w:w="1568" w:type="dxa"/>
            <w:tcBorders>
              <w:top w:val="single" w:sz="4" w:space="0" w:color="000000"/>
              <w:left w:val="single" w:sz="4" w:space="0" w:color="000000"/>
              <w:bottom w:val="single" w:sz="12" w:space="0" w:color="000000"/>
            </w:tcBorders>
            <w:vAlign w:val="center"/>
          </w:tcPr>
          <w:p>
            <w:pPr>
              <w:pStyle w:val="TableContents"/>
              <w:bidi w:val="0"/>
              <w:spacing w:before="0" w:after="0"/>
              <w:ind w:left="0" w:right="15" w:hanging="0"/>
              <w:jc w:val="center"/>
              <w:rPr>
                <w:rFonts w:ascii="Times New Roman" w:hAnsi="Times New Roman"/>
                <w:b/>
                <w:color w:val="000000"/>
                <w:sz w:val="20"/>
              </w:rPr>
            </w:pPr>
            <w:r>
              <w:rPr>
                <w:rFonts w:ascii="Times New Roman" w:hAnsi="Times New Roman"/>
                <w:b/>
                <w:color w:val="000000"/>
                <w:sz w:val="20"/>
              </w:rPr>
              <w:t>Highest price paid per share</w:t>
            </w:r>
          </w:p>
        </w:tc>
        <w:tc>
          <w:tcPr>
            <w:tcW w:w="1545" w:type="dxa"/>
            <w:tcBorders>
              <w:top w:val="single" w:sz="4" w:space="0" w:color="000000"/>
              <w:left w:val="single" w:sz="4" w:space="0" w:color="000000"/>
              <w:bottom w:val="single" w:sz="12" w:space="0" w:color="000000"/>
            </w:tcBorders>
            <w:vAlign w:val="center"/>
          </w:tcPr>
          <w:p>
            <w:pPr>
              <w:pStyle w:val="TableContents"/>
              <w:bidi w:val="0"/>
              <w:spacing w:before="0" w:after="0"/>
              <w:ind w:left="0" w:right="15" w:hanging="0"/>
              <w:jc w:val="center"/>
              <w:rPr>
                <w:rFonts w:ascii="Times New Roman" w:hAnsi="Times New Roman"/>
                <w:b/>
                <w:color w:val="000000"/>
                <w:sz w:val="20"/>
              </w:rPr>
            </w:pPr>
            <w:r>
              <w:rPr>
                <w:rFonts w:ascii="Times New Roman" w:hAnsi="Times New Roman"/>
                <w:b/>
                <w:color w:val="000000"/>
                <w:sz w:val="20"/>
              </w:rPr>
              <w:t>Lowest price paid per share</w:t>
            </w:r>
          </w:p>
        </w:tc>
        <w:tc>
          <w:tcPr>
            <w:tcW w:w="1066" w:type="dxa"/>
            <w:tcBorders>
              <w:top w:val="single" w:sz="4" w:space="0" w:color="000000"/>
              <w:left w:val="single" w:sz="4" w:space="0" w:color="000000"/>
              <w:bottom w:val="single" w:sz="12" w:space="0" w:color="000000"/>
              <w:right w:val="single" w:sz="4" w:space="0" w:color="000000"/>
            </w:tcBorders>
            <w:tcMar>
              <w:right w:w="28" w:type="dxa"/>
            </w:tcMar>
            <w:vAlign w:val="center"/>
          </w:tcPr>
          <w:p>
            <w:pPr>
              <w:pStyle w:val="TableContents"/>
              <w:bidi w:val="0"/>
              <w:spacing w:before="0" w:after="0"/>
              <w:ind w:left="0" w:right="15" w:hanging="0"/>
              <w:jc w:val="center"/>
              <w:rPr>
                <w:rFonts w:ascii="Times New Roman" w:hAnsi="Times New Roman"/>
                <w:b/>
                <w:color w:val="000000"/>
                <w:sz w:val="20"/>
              </w:rPr>
            </w:pPr>
            <w:r>
              <w:rPr>
                <w:rFonts w:ascii="Times New Roman" w:hAnsi="Times New Roman"/>
                <w:b/>
                <w:color w:val="000000"/>
                <w:sz w:val="20"/>
              </w:rPr>
              <w:t>Trading venue</w:t>
            </w:r>
          </w:p>
        </w:tc>
      </w:tr>
      <w:tr>
        <w:trPr/>
        <w:tc>
          <w:tcPr>
            <w:tcW w:w="770"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2026-08-03</w:t>
            </w:r>
          </w:p>
          <w:p>
            <w:pPr>
              <w:pStyle w:val="TableContents"/>
              <w:bidi w:val="0"/>
              <w:spacing w:before="0" w:after="0"/>
              <w:ind w:left="0" w:right="15" w:hanging="0"/>
              <w:jc w:val="center"/>
              <w:rPr/>
            </w:pPr>
            <w:r>
              <w:rPr/>
              <w:t> </w:t>
            </w:r>
          </w:p>
        </w:tc>
        <w:tc>
          <w:tcPr>
            <w:tcW w:w="2876"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120,048</w:t>
            </w:r>
          </w:p>
        </w:tc>
        <w:tc>
          <w:tcPr>
            <w:tcW w:w="2380"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9.0217</w:t>
            </w:r>
          </w:p>
        </w:tc>
        <w:tc>
          <w:tcPr>
            <w:tcW w:w="1568"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9.1060</w:t>
            </w:r>
          </w:p>
        </w:tc>
        <w:tc>
          <w:tcPr>
            <w:tcW w:w="1545"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8.8840</w:t>
            </w:r>
          </w:p>
        </w:tc>
        <w:tc>
          <w:tcPr>
            <w:tcW w:w="1066" w:type="dxa"/>
            <w:tcBorders>
              <w:left w:val="single" w:sz="4" w:space="0" w:color="000000"/>
              <w:bottom w:val="single" w:sz="12" w:space="0" w:color="000000"/>
              <w:right w:val="single" w:sz="4" w:space="0" w:color="000000"/>
            </w:tcBorders>
            <w:tcMar>
              <w:top w:w="0" w:type="dxa"/>
              <w:right w:w="28"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XLON</w:t>
            </w:r>
          </w:p>
        </w:tc>
      </w:tr>
      <w:tr>
        <w:trPr/>
        <w:tc>
          <w:tcPr>
            <w:tcW w:w="770"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2026-08-03</w:t>
            </w:r>
          </w:p>
          <w:p>
            <w:pPr>
              <w:pStyle w:val="TableContents"/>
              <w:bidi w:val="0"/>
              <w:spacing w:before="0" w:after="0"/>
              <w:ind w:left="0" w:right="15" w:hanging="0"/>
              <w:jc w:val="center"/>
              <w:rPr/>
            </w:pPr>
            <w:r>
              <w:rPr/>
              <w:t> </w:t>
            </w:r>
          </w:p>
        </w:tc>
        <w:tc>
          <w:tcPr>
            <w:tcW w:w="2876"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100,000</w:t>
            </w:r>
          </w:p>
        </w:tc>
        <w:tc>
          <w:tcPr>
            <w:tcW w:w="2380"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9.0205</w:t>
            </w:r>
          </w:p>
        </w:tc>
        <w:tc>
          <w:tcPr>
            <w:tcW w:w="1568"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9.1080</w:t>
            </w:r>
          </w:p>
        </w:tc>
        <w:tc>
          <w:tcPr>
            <w:tcW w:w="1545"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8.8820</w:t>
            </w:r>
          </w:p>
        </w:tc>
        <w:tc>
          <w:tcPr>
            <w:tcW w:w="1066" w:type="dxa"/>
            <w:tcBorders>
              <w:left w:val="single" w:sz="4" w:space="0" w:color="000000"/>
              <w:bottom w:val="single" w:sz="12" w:space="0" w:color="000000"/>
              <w:right w:val="single" w:sz="4" w:space="0" w:color="000000"/>
            </w:tcBorders>
            <w:tcMar>
              <w:top w:w="0" w:type="dxa"/>
              <w:right w:w="28"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CHIX</w:t>
            </w:r>
          </w:p>
        </w:tc>
      </w:tr>
      <w:tr>
        <w:trPr/>
        <w:tc>
          <w:tcPr>
            <w:tcW w:w="770"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2026-08-03</w:t>
            </w:r>
          </w:p>
          <w:p>
            <w:pPr>
              <w:pStyle w:val="TableContents"/>
              <w:bidi w:val="0"/>
              <w:spacing w:before="0" w:after="0"/>
              <w:ind w:left="0" w:right="15" w:hanging="0"/>
              <w:jc w:val="center"/>
              <w:rPr/>
            </w:pPr>
            <w:r>
              <w:rPr/>
              <w:t> </w:t>
            </w:r>
          </w:p>
        </w:tc>
        <w:tc>
          <w:tcPr>
            <w:tcW w:w="2876"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200,000</w:t>
            </w:r>
          </w:p>
        </w:tc>
        <w:tc>
          <w:tcPr>
            <w:tcW w:w="2380"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USD 12.2080</w:t>
            </w:r>
          </w:p>
        </w:tc>
        <w:tc>
          <w:tcPr>
            <w:tcW w:w="1568"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USD 12.3400</w:t>
            </w:r>
          </w:p>
        </w:tc>
        <w:tc>
          <w:tcPr>
            <w:tcW w:w="1545"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USD 11.9900</w:t>
            </w:r>
          </w:p>
        </w:tc>
        <w:tc>
          <w:tcPr>
            <w:tcW w:w="1066" w:type="dxa"/>
            <w:tcBorders>
              <w:left w:val="single" w:sz="4" w:space="0" w:color="000000"/>
              <w:bottom w:val="single" w:sz="12" w:space="0" w:color="000000"/>
              <w:right w:val="single" w:sz="4" w:space="0" w:color="000000"/>
            </w:tcBorders>
            <w:tcMar>
              <w:top w:w="0" w:type="dxa"/>
              <w:right w:w="28"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NASDAQ</w:t>
            </w:r>
          </w:p>
        </w:tc>
      </w:tr>
      <w:tr>
        <w:trPr/>
        <w:tc>
          <w:tcPr>
            <w:tcW w:w="770"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2026-08-04</w:t>
            </w:r>
          </w:p>
          <w:p>
            <w:pPr>
              <w:pStyle w:val="TableContents"/>
              <w:bidi w:val="0"/>
              <w:spacing w:before="0" w:after="0"/>
              <w:ind w:left="0" w:right="15" w:hanging="0"/>
              <w:jc w:val="center"/>
              <w:rPr/>
            </w:pPr>
            <w:r>
              <w:rPr/>
              <w:t> </w:t>
            </w:r>
          </w:p>
        </w:tc>
        <w:tc>
          <w:tcPr>
            <w:tcW w:w="2876"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135,202</w:t>
            </w:r>
          </w:p>
        </w:tc>
        <w:tc>
          <w:tcPr>
            <w:tcW w:w="2380"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9.0918</w:t>
            </w:r>
          </w:p>
        </w:tc>
        <w:tc>
          <w:tcPr>
            <w:tcW w:w="1568"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9.1760</w:t>
            </w:r>
          </w:p>
        </w:tc>
        <w:tc>
          <w:tcPr>
            <w:tcW w:w="1545"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8.9940</w:t>
            </w:r>
          </w:p>
        </w:tc>
        <w:tc>
          <w:tcPr>
            <w:tcW w:w="1066" w:type="dxa"/>
            <w:tcBorders>
              <w:left w:val="single" w:sz="4" w:space="0" w:color="000000"/>
              <w:bottom w:val="single" w:sz="12" w:space="0" w:color="000000"/>
              <w:right w:val="single" w:sz="4" w:space="0" w:color="000000"/>
            </w:tcBorders>
            <w:tcMar>
              <w:top w:w="0" w:type="dxa"/>
              <w:right w:w="28"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XLON</w:t>
            </w:r>
          </w:p>
        </w:tc>
      </w:tr>
      <w:tr>
        <w:trPr/>
        <w:tc>
          <w:tcPr>
            <w:tcW w:w="770"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2026-08-04</w:t>
            </w:r>
          </w:p>
          <w:p>
            <w:pPr>
              <w:pStyle w:val="TableContents"/>
              <w:bidi w:val="0"/>
              <w:spacing w:before="0" w:after="0"/>
              <w:ind w:left="0" w:right="15" w:hanging="0"/>
              <w:jc w:val="center"/>
              <w:rPr/>
            </w:pPr>
            <w:r>
              <w:rPr/>
              <w:t> </w:t>
            </w:r>
          </w:p>
        </w:tc>
        <w:tc>
          <w:tcPr>
            <w:tcW w:w="2876"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50,000</w:t>
            </w:r>
          </w:p>
        </w:tc>
        <w:tc>
          <w:tcPr>
            <w:tcW w:w="2380"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9.0937</w:t>
            </w:r>
          </w:p>
        </w:tc>
        <w:tc>
          <w:tcPr>
            <w:tcW w:w="1568"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9.1760</w:t>
            </w:r>
          </w:p>
        </w:tc>
        <w:tc>
          <w:tcPr>
            <w:tcW w:w="1545"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8.9920</w:t>
            </w:r>
          </w:p>
        </w:tc>
        <w:tc>
          <w:tcPr>
            <w:tcW w:w="1066" w:type="dxa"/>
            <w:tcBorders>
              <w:left w:val="single" w:sz="4" w:space="0" w:color="000000"/>
              <w:bottom w:val="single" w:sz="12" w:space="0" w:color="000000"/>
              <w:right w:val="single" w:sz="4" w:space="0" w:color="000000"/>
            </w:tcBorders>
            <w:tcMar>
              <w:top w:w="0" w:type="dxa"/>
              <w:right w:w="28"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CHIX</w:t>
            </w:r>
          </w:p>
        </w:tc>
      </w:tr>
      <w:tr>
        <w:trPr/>
        <w:tc>
          <w:tcPr>
            <w:tcW w:w="770"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2026-08-04</w:t>
            </w:r>
          </w:p>
          <w:p>
            <w:pPr>
              <w:pStyle w:val="TableContents"/>
              <w:bidi w:val="0"/>
              <w:spacing w:before="0" w:after="0"/>
              <w:ind w:left="0" w:right="15" w:hanging="0"/>
              <w:jc w:val="center"/>
              <w:rPr/>
            </w:pPr>
            <w:r>
              <w:rPr/>
              <w:t> </w:t>
            </w:r>
          </w:p>
        </w:tc>
        <w:tc>
          <w:tcPr>
            <w:tcW w:w="2876"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150,000</w:t>
            </w:r>
          </w:p>
        </w:tc>
        <w:tc>
          <w:tcPr>
            <w:tcW w:w="2380"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USD 12.3397</w:t>
            </w:r>
          </w:p>
        </w:tc>
        <w:tc>
          <w:tcPr>
            <w:tcW w:w="1568"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USD 12.4350</w:t>
            </w:r>
          </w:p>
        </w:tc>
        <w:tc>
          <w:tcPr>
            <w:tcW w:w="1545"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USD 12.1600</w:t>
            </w:r>
          </w:p>
        </w:tc>
        <w:tc>
          <w:tcPr>
            <w:tcW w:w="1066" w:type="dxa"/>
            <w:tcBorders>
              <w:left w:val="single" w:sz="4" w:space="0" w:color="000000"/>
              <w:bottom w:val="single" w:sz="12" w:space="0" w:color="000000"/>
              <w:right w:val="single" w:sz="4" w:space="0" w:color="000000"/>
            </w:tcBorders>
            <w:tcMar>
              <w:top w:w="0" w:type="dxa"/>
              <w:right w:w="28"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NASDAQ</w:t>
            </w:r>
          </w:p>
        </w:tc>
      </w:tr>
      <w:tr>
        <w:trPr/>
        <w:tc>
          <w:tcPr>
            <w:tcW w:w="770"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2026-08-05</w:t>
            </w:r>
          </w:p>
          <w:p>
            <w:pPr>
              <w:pStyle w:val="TableContents"/>
              <w:bidi w:val="0"/>
              <w:spacing w:before="0" w:after="0"/>
              <w:ind w:left="0" w:right="15" w:hanging="0"/>
              <w:jc w:val="center"/>
              <w:rPr/>
            </w:pPr>
            <w:r>
              <w:rPr/>
              <w:t> </w:t>
            </w:r>
          </w:p>
        </w:tc>
        <w:tc>
          <w:tcPr>
            <w:tcW w:w="2876"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130,934</w:t>
            </w:r>
          </w:p>
        </w:tc>
        <w:tc>
          <w:tcPr>
            <w:tcW w:w="2380"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9.0350</w:t>
            </w:r>
          </w:p>
        </w:tc>
        <w:tc>
          <w:tcPr>
            <w:tcW w:w="1568"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9.1420</w:t>
            </w:r>
          </w:p>
        </w:tc>
        <w:tc>
          <w:tcPr>
            <w:tcW w:w="1545"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8.9580</w:t>
            </w:r>
          </w:p>
        </w:tc>
        <w:tc>
          <w:tcPr>
            <w:tcW w:w="1066" w:type="dxa"/>
            <w:tcBorders>
              <w:left w:val="single" w:sz="4" w:space="0" w:color="000000"/>
              <w:bottom w:val="single" w:sz="12" w:space="0" w:color="000000"/>
              <w:right w:val="single" w:sz="4" w:space="0" w:color="000000"/>
            </w:tcBorders>
            <w:tcMar>
              <w:top w:w="0" w:type="dxa"/>
              <w:right w:w="28"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XLON</w:t>
            </w:r>
          </w:p>
        </w:tc>
      </w:tr>
      <w:tr>
        <w:trPr/>
        <w:tc>
          <w:tcPr>
            <w:tcW w:w="770"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2026-08-05</w:t>
            </w:r>
          </w:p>
          <w:p>
            <w:pPr>
              <w:pStyle w:val="TableContents"/>
              <w:bidi w:val="0"/>
              <w:spacing w:before="0" w:after="0"/>
              <w:ind w:left="0" w:right="15" w:hanging="0"/>
              <w:jc w:val="center"/>
              <w:rPr/>
            </w:pPr>
            <w:r>
              <w:rPr/>
              <w:t> </w:t>
            </w:r>
          </w:p>
        </w:tc>
        <w:tc>
          <w:tcPr>
            <w:tcW w:w="2876"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48,040</w:t>
            </w:r>
          </w:p>
        </w:tc>
        <w:tc>
          <w:tcPr>
            <w:tcW w:w="2380"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9.0391</w:t>
            </w:r>
          </w:p>
        </w:tc>
        <w:tc>
          <w:tcPr>
            <w:tcW w:w="1568"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9.1420</w:t>
            </w:r>
          </w:p>
        </w:tc>
        <w:tc>
          <w:tcPr>
            <w:tcW w:w="1545"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8.9680</w:t>
            </w:r>
          </w:p>
        </w:tc>
        <w:tc>
          <w:tcPr>
            <w:tcW w:w="1066" w:type="dxa"/>
            <w:tcBorders>
              <w:left w:val="single" w:sz="4" w:space="0" w:color="000000"/>
              <w:bottom w:val="single" w:sz="12" w:space="0" w:color="000000"/>
              <w:right w:val="single" w:sz="4" w:space="0" w:color="000000"/>
            </w:tcBorders>
            <w:tcMar>
              <w:top w:w="0" w:type="dxa"/>
              <w:right w:w="28"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CHIX</w:t>
            </w:r>
          </w:p>
        </w:tc>
      </w:tr>
      <w:tr>
        <w:trPr/>
        <w:tc>
          <w:tcPr>
            <w:tcW w:w="770"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2026-08-05</w:t>
            </w:r>
          </w:p>
          <w:p>
            <w:pPr>
              <w:pStyle w:val="TableContents"/>
              <w:bidi w:val="0"/>
              <w:spacing w:before="0" w:after="0"/>
              <w:ind w:left="0" w:right="15" w:hanging="0"/>
              <w:jc w:val="center"/>
              <w:rPr/>
            </w:pPr>
            <w:r>
              <w:rPr/>
              <w:t> </w:t>
            </w:r>
          </w:p>
        </w:tc>
        <w:tc>
          <w:tcPr>
            <w:tcW w:w="2876"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150,000</w:t>
            </w:r>
          </w:p>
        </w:tc>
        <w:tc>
          <w:tcPr>
            <w:tcW w:w="2380"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USD 12.1362</w:t>
            </w:r>
          </w:p>
        </w:tc>
        <w:tc>
          <w:tcPr>
            <w:tcW w:w="1568"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USD 12.3300</w:t>
            </w:r>
          </w:p>
        </w:tc>
        <w:tc>
          <w:tcPr>
            <w:tcW w:w="1545"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USD 12.0250</w:t>
            </w:r>
          </w:p>
        </w:tc>
        <w:tc>
          <w:tcPr>
            <w:tcW w:w="1066" w:type="dxa"/>
            <w:tcBorders>
              <w:left w:val="single" w:sz="4" w:space="0" w:color="000000"/>
              <w:bottom w:val="single" w:sz="12" w:space="0" w:color="000000"/>
              <w:right w:val="single" w:sz="4" w:space="0" w:color="000000"/>
            </w:tcBorders>
            <w:tcMar>
              <w:top w:w="0" w:type="dxa"/>
              <w:right w:w="28"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NASDAQ</w:t>
            </w:r>
          </w:p>
        </w:tc>
      </w:tr>
      <w:tr>
        <w:trPr/>
        <w:tc>
          <w:tcPr>
            <w:tcW w:w="770"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2026-08-06</w:t>
            </w:r>
          </w:p>
          <w:p>
            <w:pPr>
              <w:pStyle w:val="TableContents"/>
              <w:bidi w:val="0"/>
              <w:spacing w:before="0" w:after="0"/>
              <w:ind w:left="0" w:right="15" w:hanging="0"/>
              <w:jc w:val="center"/>
              <w:rPr/>
            </w:pPr>
            <w:r>
              <w:rPr/>
              <w:t> </w:t>
            </w:r>
          </w:p>
        </w:tc>
        <w:tc>
          <w:tcPr>
            <w:tcW w:w="2876"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92,976</w:t>
            </w:r>
          </w:p>
        </w:tc>
        <w:tc>
          <w:tcPr>
            <w:tcW w:w="2380"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9.1297</w:t>
            </w:r>
          </w:p>
        </w:tc>
        <w:tc>
          <w:tcPr>
            <w:tcW w:w="1568"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9.2480</w:t>
            </w:r>
          </w:p>
        </w:tc>
        <w:tc>
          <w:tcPr>
            <w:tcW w:w="1545"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9.0060</w:t>
            </w:r>
          </w:p>
        </w:tc>
        <w:tc>
          <w:tcPr>
            <w:tcW w:w="1066" w:type="dxa"/>
            <w:tcBorders>
              <w:left w:val="single" w:sz="4" w:space="0" w:color="000000"/>
              <w:bottom w:val="single" w:sz="12" w:space="0" w:color="000000"/>
              <w:right w:val="single" w:sz="4" w:space="0" w:color="000000"/>
            </w:tcBorders>
            <w:tcMar>
              <w:top w:w="0" w:type="dxa"/>
              <w:right w:w="28"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XLON</w:t>
            </w:r>
          </w:p>
        </w:tc>
      </w:tr>
      <w:tr>
        <w:trPr/>
        <w:tc>
          <w:tcPr>
            <w:tcW w:w="770"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2026-08-06</w:t>
            </w:r>
          </w:p>
          <w:p>
            <w:pPr>
              <w:pStyle w:val="TableContents"/>
              <w:bidi w:val="0"/>
              <w:spacing w:before="0" w:after="0"/>
              <w:ind w:left="0" w:right="15" w:hanging="0"/>
              <w:jc w:val="center"/>
              <w:rPr/>
            </w:pPr>
            <w:r>
              <w:rPr/>
              <w:t> </w:t>
            </w:r>
          </w:p>
        </w:tc>
        <w:tc>
          <w:tcPr>
            <w:tcW w:w="2876"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49,618</w:t>
            </w:r>
          </w:p>
        </w:tc>
        <w:tc>
          <w:tcPr>
            <w:tcW w:w="2380"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9.1274</w:t>
            </w:r>
          </w:p>
        </w:tc>
        <w:tc>
          <w:tcPr>
            <w:tcW w:w="1568"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9.2460</w:t>
            </w:r>
          </w:p>
        </w:tc>
        <w:tc>
          <w:tcPr>
            <w:tcW w:w="1545"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9.0060</w:t>
            </w:r>
          </w:p>
        </w:tc>
        <w:tc>
          <w:tcPr>
            <w:tcW w:w="1066" w:type="dxa"/>
            <w:tcBorders>
              <w:left w:val="single" w:sz="4" w:space="0" w:color="000000"/>
              <w:bottom w:val="single" w:sz="12" w:space="0" w:color="000000"/>
              <w:right w:val="single" w:sz="4" w:space="0" w:color="000000"/>
            </w:tcBorders>
            <w:tcMar>
              <w:top w:w="0" w:type="dxa"/>
              <w:right w:w="28"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CHIX</w:t>
            </w:r>
          </w:p>
        </w:tc>
      </w:tr>
      <w:tr>
        <w:trPr/>
        <w:tc>
          <w:tcPr>
            <w:tcW w:w="770"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2026-08-06</w:t>
            </w:r>
          </w:p>
          <w:p>
            <w:pPr>
              <w:pStyle w:val="TableContents"/>
              <w:bidi w:val="0"/>
              <w:spacing w:before="0" w:after="0"/>
              <w:ind w:left="0" w:right="15" w:hanging="0"/>
              <w:jc w:val="center"/>
              <w:rPr/>
            </w:pPr>
            <w:r>
              <w:rPr/>
              <w:t> </w:t>
            </w:r>
          </w:p>
        </w:tc>
        <w:tc>
          <w:tcPr>
            <w:tcW w:w="2876"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100,000</w:t>
            </w:r>
          </w:p>
        </w:tc>
        <w:tc>
          <w:tcPr>
            <w:tcW w:w="2380"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USD 12.2947</w:t>
            </w:r>
          </w:p>
        </w:tc>
        <w:tc>
          <w:tcPr>
            <w:tcW w:w="1568"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USD 12.3700</w:t>
            </w:r>
          </w:p>
        </w:tc>
        <w:tc>
          <w:tcPr>
            <w:tcW w:w="1545"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USD 12.1900</w:t>
            </w:r>
          </w:p>
        </w:tc>
        <w:tc>
          <w:tcPr>
            <w:tcW w:w="1066" w:type="dxa"/>
            <w:tcBorders>
              <w:left w:val="single" w:sz="4" w:space="0" w:color="000000"/>
              <w:bottom w:val="single" w:sz="12" w:space="0" w:color="000000"/>
              <w:right w:val="single" w:sz="4" w:space="0" w:color="000000"/>
            </w:tcBorders>
            <w:tcMar>
              <w:top w:w="0" w:type="dxa"/>
              <w:right w:w="28"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NASDAQ</w:t>
            </w:r>
          </w:p>
        </w:tc>
      </w:tr>
      <w:tr>
        <w:trPr/>
        <w:tc>
          <w:tcPr>
            <w:tcW w:w="770"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2026-08-07</w:t>
            </w:r>
          </w:p>
          <w:p>
            <w:pPr>
              <w:pStyle w:val="TableContents"/>
              <w:bidi w:val="0"/>
              <w:spacing w:before="0" w:after="0"/>
              <w:ind w:left="0" w:right="15" w:hanging="0"/>
              <w:jc w:val="center"/>
              <w:rPr/>
            </w:pPr>
            <w:r>
              <w:rPr/>
              <w:t> </w:t>
            </w:r>
          </w:p>
        </w:tc>
        <w:tc>
          <w:tcPr>
            <w:tcW w:w="2876"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87,397</w:t>
            </w:r>
          </w:p>
        </w:tc>
        <w:tc>
          <w:tcPr>
            <w:tcW w:w="2380"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9.2560</w:t>
            </w:r>
          </w:p>
        </w:tc>
        <w:tc>
          <w:tcPr>
            <w:tcW w:w="1568"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9.3300</w:t>
            </w:r>
          </w:p>
        </w:tc>
        <w:tc>
          <w:tcPr>
            <w:tcW w:w="1545"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9.1640</w:t>
            </w:r>
          </w:p>
        </w:tc>
        <w:tc>
          <w:tcPr>
            <w:tcW w:w="1066" w:type="dxa"/>
            <w:tcBorders>
              <w:left w:val="single" w:sz="4" w:space="0" w:color="000000"/>
              <w:bottom w:val="single" w:sz="12" w:space="0" w:color="000000"/>
              <w:right w:val="single" w:sz="4" w:space="0" w:color="000000"/>
            </w:tcBorders>
            <w:tcMar>
              <w:top w:w="0" w:type="dxa"/>
              <w:right w:w="28"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XLON</w:t>
            </w:r>
          </w:p>
        </w:tc>
      </w:tr>
      <w:tr>
        <w:trPr/>
        <w:tc>
          <w:tcPr>
            <w:tcW w:w="770"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2026-08-07</w:t>
            </w:r>
          </w:p>
          <w:p>
            <w:pPr>
              <w:pStyle w:val="TableContents"/>
              <w:bidi w:val="0"/>
              <w:spacing w:before="0" w:after="0"/>
              <w:ind w:left="0" w:right="15" w:hanging="0"/>
              <w:jc w:val="center"/>
              <w:rPr/>
            </w:pPr>
            <w:r>
              <w:rPr/>
              <w:t> </w:t>
            </w:r>
          </w:p>
        </w:tc>
        <w:tc>
          <w:tcPr>
            <w:tcW w:w="2876"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100,000</w:t>
            </w:r>
          </w:p>
        </w:tc>
        <w:tc>
          <w:tcPr>
            <w:tcW w:w="2380"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USD 12.4105</w:t>
            </w:r>
          </w:p>
        </w:tc>
        <w:tc>
          <w:tcPr>
            <w:tcW w:w="1568"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USD 12.5550</w:t>
            </w:r>
          </w:p>
        </w:tc>
        <w:tc>
          <w:tcPr>
            <w:tcW w:w="1545"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USD 12.3200</w:t>
            </w:r>
          </w:p>
        </w:tc>
        <w:tc>
          <w:tcPr>
            <w:tcW w:w="1066" w:type="dxa"/>
            <w:tcBorders>
              <w:left w:val="single" w:sz="4" w:space="0" w:color="000000"/>
              <w:bottom w:val="single" w:sz="12" w:space="0" w:color="000000"/>
              <w:right w:val="single" w:sz="4" w:space="0" w:color="000000"/>
            </w:tcBorders>
            <w:tcMar>
              <w:top w:w="0" w:type="dxa"/>
              <w:right w:w="28"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NASDAQ</w:t>
            </w:r>
          </w:p>
        </w:tc>
      </w:tr>
    </w:tbl>
    <w:p>
      <w:pPr>
        <w:pStyle w:val="TextBody"/>
        <w:bidi w:val="0"/>
        <w:spacing w:before="0" w:after="0"/>
        <w:ind w:left="0" w:right="0" w:hanging="0"/>
        <w:jc w:val="left"/>
        <w:rPr>
          <w:color w:val="000000"/>
        </w:rPr>
      </w:pPr>
      <w:r>
        <w:rPr>
          <w:color w:val="000000"/>
        </w:rPr>
        <w:t> </w:t>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0"/>
        </w:rPr>
        <w:t>The repurchases form part of the Company's share buyback program announced on July 21, 2026 (the "Buyback"). In connection with the Buyback, the Company expects to repurchase up to £405 million (approximately $540 million) of its Class A ordinary shares.</w:t>
      </w:r>
    </w:p>
    <w:p>
      <w:pPr>
        <w:pStyle w:val="TextBody"/>
        <w:bidi w:val="0"/>
        <w:spacing w:before="0" w:after="0"/>
        <w:ind w:left="0" w:right="0" w:hanging="0"/>
        <w:jc w:val="both"/>
        <w:rPr>
          <w:color w:val="000000"/>
        </w:rPr>
      </w:pPr>
      <w:r>
        <w:rPr>
          <w:color w:val="000000"/>
        </w:rPr>
        <w:t> </w:t>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0"/>
        </w:rPr>
        <w:t>In accordance with Article 5(1)(b) of Regulation (EU) No 596/2014 (the Market Abuse Regulation) and Commission Delegated Regulation (EU) 2016/1052 as such legislation forms part of law in the United Kingdom (the "UK") by virtue of the EU (Withdrawal) Act 2018 (as may be amended, extended and/or supplemented from time to time), a detailed breakdown of individual trades made by Goldman Sachs International on behalf of the Company as part of the Buyback is scheduled to this announcement. This announcement is also being made for the purposes of the UK Financial Conduct Authority's Listing Rule 14.3.17(2).</w:t>
      </w:r>
    </w:p>
    <w:p>
      <w:pPr>
        <w:pStyle w:val="TextBody"/>
        <w:bidi w:val="0"/>
        <w:spacing w:before="0" w:after="0"/>
        <w:ind w:left="0" w:right="0" w:hanging="0"/>
        <w:jc w:val="left"/>
        <w:rPr>
          <w:color w:val="000000"/>
        </w:rPr>
      </w:pPr>
      <w:r>
        <w:rPr>
          <w:color w:val="000000"/>
        </w:rPr>
        <w:t> </w:t>
      </w:r>
    </w:p>
    <w:p>
      <w:pPr>
        <w:pStyle w:val="TextBody"/>
        <w:bidi w:val="0"/>
        <w:spacing w:before="0" w:after="0"/>
        <w:ind w:left="0" w:right="0" w:hanging="0"/>
        <w:jc w:val="left"/>
        <w:rPr>
          <w:rFonts w:ascii="Times New Roman" w:hAnsi="Times New Roman"/>
          <w:color w:val="0000FF"/>
          <w:sz w:val="20"/>
          <w:u w:val="single"/>
        </w:rPr>
      </w:pPr>
      <w:r>
        <w:rPr>
          <w:rFonts w:ascii="Times New Roman" w:hAnsi="Times New Roman"/>
          <w:color w:val="0000FF"/>
          <w:sz w:val="20"/>
          <w:u w:val="single"/>
        </w:rPr>
        <w:t>http://www.rns-pdf.londonstockexchange.com/rns/0474Q_1-2026-8-10.pdf</w:t>
      </w:r>
    </w:p>
    <w:p>
      <w:pPr>
        <w:pStyle w:val="TextBody"/>
        <w:bidi w:val="0"/>
        <w:spacing w:before="0" w:after="0"/>
        <w:ind w:left="0" w:right="0" w:hanging="0"/>
        <w:jc w:val="left"/>
        <w:rPr>
          <w:color w:val="000000"/>
        </w:rPr>
      </w:pPr>
      <w:r>
        <w:rPr>
          <w:color w:val="000000"/>
        </w:rPr>
        <w:t> </w:t>
      </w:r>
    </w:p>
    <w:p>
      <w:pPr>
        <w:pStyle w:val="TextBody"/>
        <w:bidi w:val="0"/>
        <w:spacing w:before="0" w:after="0"/>
        <w:ind w:left="0" w:right="0" w:hanging="0"/>
        <w:jc w:val="left"/>
        <w:rPr>
          <w:rFonts w:ascii="Times New Roman" w:hAnsi="Times New Roman"/>
          <w:b/>
          <w:color w:val="000000"/>
          <w:sz w:val="20"/>
        </w:rPr>
      </w:pPr>
      <w:r>
        <w:rPr>
          <w:rFonts w:ascii="Times New Roman" w:hAnsi="Times New Roman"/>
          <w:b/>
          <w:color w:val="000000"/>
          <w:sz w:val="20"/>
        </w:rPr>
        <w:t>Enquiries</w:t>
      </w:r>
    </w:p>
    <w:p>
      <w:pPr>
        <w:pStyle w:val="TextBody"/>
        <w:bidi w:val="0"/>
        <w:spacing w:before="0" w:after="0"/>
        <w:ind w:left="0" w:right="0" w:hanging="0"/>
        <w:jc w:val="left"/>
        <w:rPr>
          <w:color w:val="000000"/>
        </w:rPr>
      </w:pPr>
      <w:r>
        <w:rPr>
          <w:color w:val="000000"/>
        </w:rPr>
        <w:t> </w:t>
      </w:r>
    </w:p>
    <w:p>
      <w:pPr>
        <w:pStyle w:val="TextBody"/>
        <w:bidi w:val="0"/>
        <w:spacing w:before="0" w:after="0"/>
        <w:ind w:left="0" w:right="0" w:hanging="0"/>
        <w:jc w:val="left"/>
        <w:rPr>
          <w:rFonts w:ascii="Times New Roman" w:hAnsi="Times New Roman"/>
          <w:color w:val="000000"/>
          <w:sz w:val="20"/>
        </w:rPr>
      </w:pPr>
      <w:r>
        <w:rPr>
          <w:rFonts w:ascii="Times New Roman" w:hAnsi="Times New Roman"/>
          <w:color w:val="000000"/>
          <w:sz w:val="20"/>
        </w:rPr>
        <w:t>Martin Adams - Investor Relations</w:t>
      </w:r>
    </w:p>
    <w:p>
      <w:pPr>
        <w:pStyle w:val="TextBody"/>
        <w:bidi w:val="0"/>
        <w:spacing w:before="0" w:after="0"/>
        <w:ind w:left="0" w:right="0" w:hanging="0"/>
        <w:jc w:val="left"/>
        <w:rPr>
          <w:rFonts w:ascii="Times New Roman" w:hAnsi="Times New Roman"/>
          <w:color w:val="0000FF"/>
          <w:sz w:val="20"/>
          <w:u w:val="single"/>
        </w:rPr>
      </w:pPr>
      <w:r>
        <w:rPr>
          <w:rFonts w:ascii="Times New Roman" w:hAnsi="Times New Roman"/>
          <w:color w:val="0000FF"/>
          <w:sz w:val="20"/>
          <w:u w:val="single"/>
        </w:rPr>
        <w:t>owners@wise.com</w:t>
      </w:r>
    </w:p>
    <w:p>
      <w:pPr>
        <w:pStyle w:val="TextBody"/>
        <w:bidi w:val="0"/>
        <w:spacing w:before="0" w:after="0"/>
        <w:ind w:left="0" w:right="0" w:hanging="0"/>
        <w:jc w:val="left"/>
        <w:rPr>
          <w:color w:val="000000"/>
        </w:rPr>
      </w:pPr>
      <w:r>
        <w:rPr>
          <w:color w:val="000000"/>
        </w:rPr>
        <w:t> </w:t>
      </w:r>
    </w:p>
    <w:p>
      <w:pPr>
        <w:pStyle w:val="TextBody"/>
        <w:bidi w:val="0"/>
        <w:spacing w:before="0" w:after="0"/>
        <w:ind w:left="0" w:right="0" w:hanging="0"/>
        <w:jc w:val="left"/>
        <w:rPr>
          <w:rFonts w:ascii="Times New Roman" w:hAnsi="Times New Roman"/>
          <w:color w:val="000000"/>
          <w:sz w:val="20"/>
        </w:rPr>
      </w:pPr>
      <w:r>
        <w:rPr>
          <w:rFonts w:ascii="Times New Roman" w:hAnsi="Times New Roman"/>
          <w:color w:val="000000"/>
          <w:sz w:val="20"/>
        </w:rPr>
        <w:t>Sana Rahman - Communications</w:t>
      </w:r>
    </w:p>
    <w:p>
      <w:pPr>
        <w:pStyle w:val="TextBody"/>
        <w:bidi w:val="0"/>
        <w:spacing w:before="0" w:after="0"/>
        <w:ind w:left="0" w:right="0" w:hanging="0"/>
        <w:jc w:val="left"/>
        <w:rPr>
          <w:rFonts w:ascii="Times New Roman" w:hAnsi="Times New Roman"/>
          <w:color w:val="0000FF"/>
          <w:sz w:val="20"/>
          <w:u w:val="single"/>
        </w:rPr>
      </w:pPr>
      <w:r>
        <w:rPr>
          <w:rFonts w:ascii="Times New Roman" w:hAnsi="Times New Roman"/>
          <w:color w:val="0000FF"/>
          <w:sz w:val="20"/>
          <w:u w:val="single"/>
        </w:rPr>
        <w:t>press@wise.com</w:t>
      </w:r>
    </w:p>
    <w:p>
      <w:pPr>
        <w:pStyle w:val="TextBody"/>
        <w:bidi w:val="0"/>
        <w:spacing w:before="0" w:after="0"/>
        <w:ind w:left="0" w:right="0" w:hanging="0"/>
        <w:jc w:val="left"/>
        <w:rPr>
          <w:color w:val="000000"/>
        </w:rPr>
      </w:pPr>
      <w:r>
        <w:rPr>
          <w:color w:val="000000"/>
        </w:rPr>
        <w:t> </w:t>
      </w:r>
    </w:p>
    <w:p>
      <w:pPr>
        <w:pStyle w:val="TextBody"/>
        <w:bidi w:val="0"/>
        <w:spacing w:before="0" w:after="0"/>
        <w:ind w:left="0" w:right="0" w:hanging="0"/>
        <w:jc w:val="left"/>
        <w:rPr>
          <w:rFonts w:ascii="Times New Roman" w:hAnsi="Times New Roman"/>
          <w:color w:val="000000"/>
          <w:sz w:val="20"/>
        </w:rPr>
      </w:pPr>
      <w:r>
        <w:rPr>
          <w:rFonts w:ascii="Times New Roman" w:hAnsi="Times New Roman"/>
          <w:color w:val="000000"/>
          <w:sz w:val="20"/>
        </w:rPr>
        <w:t>Brunswick Group</w:t>
      </w:r>
    </w:p>
    <w:p>
      <w:pPr>
        <w:pStyle w:val="TextBody"/>
        <w:bidi w:val="0"/>
        <w:spacing w:before="0" w:after="0"/>
        <w:ind w:left="0" w:right="0" w:hanging="0"/>
        <w:jc w:val="left"/>
        <w:rPr>
          <w:rFonts w:ascii="Times New Roman" w:hAnsi="Times New Roman"/>
          <w:color w:val="000000"/>
          <w:sz w:val="20"/>
        </w:rPr>
      </w:pPr>
      <w:r>
        <w:rPr>
          <w:rFonts w:ascii="Times New Roman" w:hAnsi="Times New Roman"/>
          <w:color w:val="000000"/>
          <w:sz w:val="20"/>
        </w:rPr>
        <w:t>Charles Pretzlik / Emily Murphy</w:t>
      </w:r>
    </w:p>
    <w:p>
      <w:pPr>
        <w:pStyle w:val="TextBody"/>
        <w:bidi w:val="0"/>
        <w:spacing w:before="0" w:after="0"/>
        <w:ind w:left="0" w:right="0" w:hanging="0"/>
        <w:jc w:val="left"/>
        <w:rPr>
          <w:rFonts w:ascii="Times New Roman" w:hAnsi="Times New Roman"/>
          <w:color w:val="0000FF"/>
          <w:sz w:val="20"/>
          <w:u w:val="single"/>
        </w:rPr>
      </w:pPr>
      <w:r>
        <w:rPr>
          <w:rFonts w:ascii="Times New Roman" w:hAnsi="Times New Roman"/>
          <w:color w:val="0000FF"/>
          <w:sz w:val="20"/>
          <w:u w:val="single"/>
        </w:rPr>
        <w:t>Wise@brunswickgroup.com</w:t>
      </w:r>
    </w:p>
    <w:p>
      <w:pPr>
        <w:pStyle w:val="TextBody"/>
        <w:bidi w:val="0"/>
        <w:spacing w:before="0" w:after="0"/>
        <w:ind w:left="0" w:right="0" w:hanging="0"/>
        <w:jc w:val="left"/>
        <w:rPr>
          <w:rFonts w:ascii="Times New Roman" w:hAnsi="Times New Roman"/>
          <w:color w:val="000000"/>
          <w:sz w:val="20"/>
        </w:rPr>
      </w:pPr>
      <w:r>
        <w:rPr>
          <w:rFonts w:ascii="Times New Roman" w:hAnsi="Times New Roman"/>
          <w:color w:val="000000"/>
          <w:sz w:val="20"/>
        </w:rPr>
        <w:t>+44 (0) 20 7404 5959</w:t>
      </w:r>
    </w:p>
    <w:p>
      <w:pPr>
        <w:pStyle w:val="TextBody"/>
        <w:bidi w:val="0"/>
        <w:spacing w:before="0" w:after="0"/>
        <w:ind w:left="0" w:right="0" w:hanging="0"/>
        <w:jc w:val="left"/>
        <w:rPr>
          <w:color w:val="000000"/>
        </w:rPr>
      </w:pPr>
      <w:r>
        <w:rPr>
          <w:color w:val="000000"/>
        </w:rPr>
        <w:t> </w:t>
      </w:r>
    </w:p>
    <w:p>
      <w:pPr>
        <w:pStyle w:val="TextBody"/>
        <w:bidi w:val="0"/>
        <w:spacing w:before="0" w:after="0"/>
        <w:ind w:left="0" w:right="0" w:hanging="0"/>
        <w:jc w:val="left"/>
        <w:rPr>
          <w:rFonts w:ascii="Times New Roman" w:hAnsi="Times New Roman"/>
          <w:b/>
          <w:color w:val="000000"/>
          <w:sz w:val="20"/>
        </w:rPr>
      </w:pPr>
      <w:r>
        <w:rPr>
          <w:rFonts w:ascii="Times New Roman" w:hAnsi="Times New Roman"/>
          <w:b/>
          <w:color w:val="000000"/>
          <w:sz w:val="20"/>
        </w:rPr>
        <w:t>About Wise</w:t>
      </w:r>
    </w:p>
    <w:p>
      <w:pPr>
        <w:pStyle w:val="TextBody"/>
        <w:bidi w:val="0"/>
        <w:spacing w:before="0" w:after="0"/>
        <w:ind w:left="0" w:right="0" w:hanging="0"/>
        <w:jc w:val="left"/>
        <w:rPr>
          <w:color w:val="000000"/>
        </w:rPr>
      </w:pPr>
      <w:r>
        <w:rPr>
          <w:color w:val="000000"/>
        </w:rPr>
        <w:t> </w:t>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0"/>
        </w:rPr>
        <w:t>Wise is a global technology company, building the best way to move and manage the world's money.</w:t>
      </w:r>
    </w:p>
    <w:p>
      <w:pPr>
        <w:pStyle w:val="TextBody"/>
        <w:bidi w:val="0"/>
        <w:spacing w:before="0" w:after="0"/>
        <w:ind w:left="0" w:right="0" w:hanging="0"/>
        <w:jc w:val="both"/>
        <w:rPr>
          <w:color w:val="000000"/>
        </w:rPr>
      </w:pPr>
      <w:r>
        <w:rPr>
          <w:color w:val="000000"/>
        </w:rPr>
        <w:t> </w:t>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0"/>
        </w:rPr>
        <w:t>With Wise Account and Wise Business, people and businesses can hold 40+ currencies, move money between countries and spend money abroad. Large companies and banks use Wise technology too; an entirely new network for the world's money.</w:t>
      </w:r>
    </w:p>
    <w:p>
      <w:pPr>
        <w:pStyle w:val="TextBody"/>
        <w:bidi w:val="0"/>
        <w:spacing w:before="0" w:after="0"/>
        <w:ind w:left="0" w:right="0" w:hanging="0"/>
        <w:jc w:val="both"/>
        <w:rPr>
          <w:color w:val="000000"/>
        </w:rPr>
      </w:pPr>
      <w:r>
        <w:rPr>
          <w:color w:val="000000"/>
        </w:rPr>
        <w:t> </w:t>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0"/>
        </w:rPr>
        <w:t>In fiscal year 2026, Wise supported around 19 million people and businesses, processing over $240 billion in cross-border transactions and saving customers over $3 billion.</w:t>
      </w:r>
    </w:p>
    <w:p>
      <w:pPr>
        <w:pStyle w:val="TextBody"/>
        <w:bidi w:val="0"/>
        <w:spacing w:before="0" w:after="0"/>
        <w:ind w:left="0" w:right="0" w:hanging="0"/>
        <w:jc w:val="left"/>
        <w:rPr/>
      </w:pPr>
      <w:r>
        <w:rPr/>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SIGNATURE</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tbl>
      <w:tblPr>
        <w:tblW w:w="4725" w:type="dxa"/>
        <w:jc w:val="left"/>
        <w:tblInd w:w="0" w:type="dxa"/>
        <w:tblLayout w:type="fixed"/>
        <w:tblCellMar>
          <w:top w:w="0" w:type="dxa"/>
          <w:left w:w="0" w:type="dxa"/>
          <w:bottom w:w="0" w:type="dxa"/>
          <w:right w:w="0" w:type="dxa"/>
        </w:tblCellMar>
      </w:tblPr>
      <w:tblGrid>
        <w:gridCol w:w="1865"/>
        <w:gridCol w:w="60"/>
        <w:gridCol w:w="60"/>
        <w:gridCol w:w="60"/>
        <w:gridCol w:w="545"/>
        <w:gridCol w:w="60"/>
        <w:gridCol w:w="2075"/>
      </w:tblGrid>
      <w:tr>
        <w:trPr/>
        <w:tc>
          <w:tcPr>
            <w:tcW w:w="186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2075" w:type="dxa"/>
            <w:tcBorders/>
            <w:vAlign w:val="center"/>
          </w:tcPr>
          <w:p>
            <w:pPr>
              <w:pStyle w:val="TableContents"/>
              <w:bidi w:val="0"/>
              <w:spacing w:before="0" w:after="0"/>
              <w:jc w:val="left"/>
              <w:rPr/>
            </w:pPr>
            <w:r>
              <w:rPr/>
              <w:t> </w:t>
            </w:r>
          </w:p>
        </w:tc>
      </w:tr>
      <w:tr>
        <w:trPr/>
        <w:tc>
          <w:tcPr>
            <w:tcW w:w="186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2680" w:type="dxa"/>
            <w:gridSpan w:val="3"/>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WISE GROUP PLC</w:t>
            </w:r>
          </w:p>
        </w:tc>
      </w:tr>
      <w:tr>
        <w:trPr/>
        <w:tc>
          <w:tcPr>
            <w:tcW w:w="1865" w:type="dxa"/>
            <w:tcBorders/>
            <w:vAlign w:val="center"/>
          </w:tcPr>
          <w:p>
            <w:pPr>
              <w:pStyle w:val="TableContents"/>
              <w:bidi w:val="0"/>
              <w:spacing w:before="0" w:after="0"/>
              <w:jc w:val="left"/>
              <w:rPr/>
            </w:pPr>
            <w:r>
              <w:rPr/>
              <w:t> </w:t>
            </w:r>
          </w:p>
        </w:tc>
        <w:tc>
          <w:tcPr>
            <w:tcW w:w="120" w:type="dxa"/>
            <w:gridSpan w:val="2"/>
            <w:tcBorders/>
            <w:vAlign w:val="center"/>
          </w:tcPr>
          <w:p>
            <w:pPr>
              <w:pStyle w:val="TableContents"/>
              <w:bidi w:val="0"/>
              <w:spacing w:before="0" w:after="0"/>
              <w:jc w:val="left"/>
              <w:rPr/>
            </w:pPr>
            <w:r>
              <w:rPr/>
              <w:t> </w:t>
            </w:r>
          </w:p>
        </w:tc>
        <w:tc>
          <w:tcPr>
            <w:tcW w:w="605" w:type="dxa"/>
            <w:gridSpan w:val="2"/>
            <w:tcBorders/>
            <w:vAlign w:val="center"/>
          </w:tcPr>
          <w:p>
            <w:pPr>
              <w:pStyle w:val="TableContents"/>
              <w:bidi w:val="0"/>
              <w:spacing w:before="0" w:after="0"/>
              <w:jc w:val="left"/>
              <w:rPr/>
            </w:pPr>
            <w:r>
              <w:rPr/>
              <w:t> </w:t>
            </w:r>
          </w:p>
        </w:tc>
        <w:tc>
          <w:tcPr>
            <w:tcW w:w="2135" w:type="dxa"/>
            <w:gridSpan w:val="2"/>
            <w:tcBorders/>
            <w:vAlign w:val="center"/>
          </w:tcPr>
          <w:p>
            <w:pPr>
              <w:pStyle w:val="TableContents"/>
              <w:bidi w:val="0"/>
              <w:spacing w:before="0" w:after="0"/>
              <w:jc w:val="left"/>
              <w:rPr/>
            </w:pPr>
            <w:r>
              <w:rPr/>
              <w:t> </w:t>
            </w:r>
          </w:p>
        </w:tc>
      </w:tr>
      <w:tr>
        <w:trPr/>
        <w:tc>
          <w:tcPr>
            <w:tcW w:w="186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Date: 11 August, 2026</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By:</w:t>
            </w:r>
          </w:p>
        </w:tc>
        <w:tc>
          <w:tcPr>
            <w:tcW w:w="60" w:type="dxa"/>
            <w:tcBorders>
              <w:bottom w:val="single" w:sz="2" w:space="0" w:color="000000"/>
            </w:tcBorders>
            <w:tcMar>
              <w:bottom w:w="28" w:type="dxa"/>
            </w:tcMar>
            <w:vAlign w:val="center"/>
          </w:tcPr>
          <w:p>
            <w:pPr>
              <w:pStyle w:val="TableContents"/>
              <w:bidi w:val="0"/>
              <w:spacing w:before="0" w:after="0"/>
              <w:jc w:val="left"/>
              <w:rPr/>
            </w:pPr>
            <w:r>
              <w:rPr/>
              <w:t> </w:t>
            </w:r>
          </w:p>
        </w:tc>
        <w:tc>
          <w:tcPr>
            <w:tcW w:w="207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 Emmanuel Thomassin</w:t>
            </w:r>
          </w:p>
        </w:tc>
      </w:tr>
      <w:tr>
        <w:trPr/>
        <w:tc>
          <w:tcPr>
            <w:tcW w:w="186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Name:</w:t>
            </w:r>
          </w:p>
        </w:tc>
        <w:tc>
          <w:tcPr>
            <w:tcW w:w="60" w:type="dxa"/>
            <w:tcBorders/>
            <w:vAlign w:val="center"/>
          </w:tcPr>
          <w:p>
            <w:pPr>
              <w:pStyle w:val="TableContents"/>
              <w:bidi w:val="0"/>
              <w:spacing w:before="0" w:after="0"/>
              <w:jc w:val="left"/>
              <w:rPr/>
            </w:pPr>
            <w:r>
              <w:rPr/>
              <w:t> </w:t>
            </w:r>
          </w:p>
        </w:tc>
        <w:tc>
          <w:tcPr>
            <w:tcW w:w="207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Emmanuel Thomassin</w:t>
            </w:r>
          </w:p>
        </w:tc>
      </w:tr>
      <w:tr>
        <w:trPr/>
        <w:tc>
          <w:tcPr>
            <w:tcW w:w="186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Title:</w:t>
            </w:r>
          </w:p>
        </w:tc>
        <w:tc>
          <w:tcPr>
            <w:tcW w:w="60" w:type="dxa"/>
            <w:tcBorders/>
            <w:vAlign w:val="center"/>
          </w:tcPr>
          <w:p>
            <w:pPr>
              <w:pStyle w:val="TableContents"/>
              <w:bidi w:val="0"/>
              <w:spacing w:before="0" w:after="0"/>
              <w:jc w:val="left"/>
              <w:rPr/>
            </w:pPr>
            <w:r>
              <w:rPr/>
              <w:t> </w:t>
            </w:r>
          </w:p>
        </w:tc>
        <w:tc>
          <w:tcPr>
            <w:tcW w:w="207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Chief Financial Officer</w:t>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ind w:left="0" w:right="0" w:hanging="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83"/>
        <w:ind w:left="0" w:right="0" w:hanging="0"/>
        <w:jc w:val="left"/>
        <w:rPr/>
      </w:pPr>
      <w:r>
        <w:rPr/>
      </w:r>
    </w:p>
    <w:sectPr>
      <w:type w:val="continuous"/>
      <w:pgSz w:w="11906" w:h="16838"/>
      <w:pgMar w:left="1134" w:right="567" w:gutter="0" w:header="0" w:top="567" w:footer="0" w:bottom="567"/>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640</Words>
  <Characters>3493</Characters>
  <CharactersWithSpaces>4086</CharactersWithSpaces>
  <Paragraphs>235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