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a0280r.htm"/>
      <w:bookmarkStart w:id="1" w:name="ksa0280r"/>
      <w:bookmarkStart w:id="2" w:name="a0280r.htm"/>
      <w:bookmarkStart w:id="3" w:name="ksa0280r"/>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2"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rFonts w:ascii="Times New Roman" w:hAnsi="Times New Roman"/>
          <w:sz w:val="20"/>
        </w:rPr>
      </w:pPr>
      <w:r>
        <w:rPr>
          <w:rFonts w:ascii="Times New Roman" w:hAnsi="Times New Roman"/>
          <w:sz w:val="20"/>
        </w:rPr>
        <w:t>____________________________________________________ </w:t>
      </w:r>
    </w:p>
    <w:p>
      <w:pPr>
        <w:pStyle w:val="TextBody"/>
        <w:bidi w:val="0"/>
        <w:spacing w:before="0" w:after="0"/>
        <w:jc w:val="left"/>
        <w:rPr/>
      </w:pPr>
      <w:r>
        <w:rPr/>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ind w:left="0" w:right="0" w:hanging="0"/>
        <w:jc w:val="center"/>
        <w:rPr/>
      </w:pPr>
      <w:r>
        <w:rPr/>
        <w:t xml:space="preserve">  </w:t>
      </w:r>
      <w:r>
        <w:rPr>
          <w:rFonts w:ascii="Times New Roman" w:hAnsi="Times New Roman"/>
          <w:sz w:val="20"/>
        </w:rPr>
        <w:t>____________________________________________________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18 August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ind w:left="0" w:right="0" w:hanging="0"/>
        <w:jc w:val="center"/>
        <w:rPr/>
      </w:pPr>
      <w:r>
        <w:rPr>
          <w:rFonts w:ascii="Times New Roman" w:hAnsi="Times New Roman"/>
          <w:sz w:val="20"/>
        </w:rPr>
        <w:t>____________________________________________________</w:t>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ind w:left="0" w:right="0" w:hanging="0"/>
        <w:jc w:val="center"/>
        <w:rPr/>
      </w:pPr>
      <w:r>
        <w:rPr/>
        <w:t xml:space="preserve">  </w:t>
      </w:r>
      <w:r>
        <w:rPr>
          <w:rFonts w:ascii="Times New Roman" w:hAnsi="Times New Roman"/>
          <w:sz w:val="20"/>
        </w:rPr>
        <w:t>____________________________________________________</w:t>
      </w: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r>
    </w:p>
    <w:p>
      <w:pPr>
        <w:pStyle w:val="TextBody"/>
        <w:bidi w:val="0"/>
        <w:spacing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doub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5095" w:type="dxa"/>
        <w:jc w:val="left"/>
        <w:tblInd w:w="0" w:type="dxa"/>
        <w:tblLayout w:type="fixed"/>
        <w:tblCellMar>
          <w:top w:w="0" w:type="dxa"/>
          <w:left w:w="0" w:type="dxa"/>
          <w:bottom w:w="0" w:type="dxa"/>
          <w:right w:w="0" w:type="dxa"/>
        </w:tblCellMar>
      </w:tblPr>
      <w:tblGrid>
        <w:gridCol w:w="995"/>
        <w:gridCol w:w="4100"/>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p>
            <w:pPr>
              <w:pStyle w:val="TableContents"/>
              <w:bidi w:val="0"/>
              <w:spacing w:before="0" w:after="0"/>
              <w:ind w:left="0" w:right="270" w:hanging="0"/>
              <w:jc w:val="center"/>
              <w:rPr/>
            </w:pPr>
            <w:r>
              <w:rPr/>
              <w:t> </w:t>
            </w:r>
          </w:p>
        </w:tc>
        <w:tc>
          <w:tcPr>
            <w:tcW w:w="4100" w:type="dxa"/>
            <w:tcBorders/>
            <w:vAlign w:val="center"/>
          </w:tcPr>
          <w:p>
            <w:pPr>
              <w:pStyle w:val="TableContents"/>
              <w:bidi w:val="0"/>
              <w:spacing w:before="0" w:after="0"/>
              <w:ind w:left="0" w:right="0" w:hanging="0"/>
              <w:jc w:val="left"/>
              <w:rPr/>
            </w:pPr>
            <w:r>
              <w:rPr>
                <w:rFonts w:ascii="Times New Roman" w:hAnsi="Times New Roman"/>
                <w:b/>
                <w:sz w:val="20"/>
              </w:rPr>
              <w:t>Description</w:t>
            </w:r>
            <w:r>
              <w:rPr/>
              <w:t> </w:t>
            </w:r>
          </w:p>
          <w:p>
            <w:pPr>
              <w:pStyle w:val="TableContents"/>
              <w:bidi w:val="0"/>
              <w:spacing w:before="0" w:after="0"/>
              <w:ind w:left="0" w:right="0" w:hanging="0"/>
              <w:jc w:val="both"/>
              <w:rPr/>
            </w:pPr>
            <w:r>
              <w:rPr/>
              <w:t> </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0"/>
              <w:ind w:left="0" w:right="0" w:hanging="0"/>
              <w:jc w:val="both"/>
              <w:rPr/>
            </w:pPr>
            <w:r>
              <w:rPr/>
              <w:t> </w:t>
            </w:r>
          </w:p>
        </w:tc>
        <w:tc>
          <w:tcPr>
            <w:tcW w:w="4100"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18 August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Wise Group plc</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Wise Group plc (the "Company") announces that from 10 August 2026 up to and including 14 August 2026 it repurchased a total of (i) 525,000 of its Class A ordinary shares on Nasdaq and/or other applicable US trading venues and (ii) 559,514 of its Class A ordinary shares on the London Stock Exchange and other in both cases through Goldman Sachs International or one of its affiliates, as detailed below.</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ind w:left="0" w:right="0" w:hanging="0"/>
        <w:jc w:val="both"/>
        <w:rPr/>
      </w:pPr>
      <w:r>
        <w:rPr/>
        <w:t> </w:t>
      </w:r>
    </w:p>
    <w:p>
      <w:pPr>
        <w:pStyle w:val="TextBody"/>
        <w:bidi w:val="0"/>
        <w:spacing w:before="0" w:after="0"/>
        <w:ind w:left="0" w:right="0" w:hanging="0"/>
        <w:jc w:val="left"/>
        <w:rPr>
          <w:color w:val="000000"/>
        </w:rPr>
      </w:pPr>
      <w:r>
        <w:rPr>
          <w:color w:val="000000"/>
        </w:rPr>
        <w:t> </w:t>
      </w:r>
    </w:p>
    <w:tbl>
      <w:tblPr>
        <w:tblW w:w="10205" w:type="dxa"/>
        <w:jc w:val="left"/>
        <w:tblInd w:w="-5" w:type="dxa"/>
        <w:tblLayout w:type="fixed"/>
        <w:tblCellMar>
          <w:top w:w="28" w:type="dxa"/>
          <w:left w:w="28" w:type="dxa"/>
          <w:bottom w:w="28" w:type="dxa"/>
          <w:right w:w="0" w:type="dxa"/>
        </w:tblCellMar>
      </w:tblPr>
      <w:tblGrid>
        <w:gridCol w:w="770"/>
        <w:gridCol w:w="2876"/>
        <w:gridCol w:w="2380"/>
        <w:gridCol w:w="1568"/>
        <w:gridCol w:w="1545"/>
        <w:gridCol w:w="1066"/>
      </w:tblGrid>
      <w:tr>
        <w:trPr/>
        <w:tc>
          <w:tcPr>
            <w:tcW w:w="770"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tc>
        <w:tc>
          <w:tcPr>
            <w:tcW w:w="2876"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tc>
        <w:tc>
          <w:tcPr>
            <w:tcW w:w="2380"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tc>
        <w:tc>
          <w:tcPr>
            <w:tcW w:w="1568"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tc>
        <w:tc>
          <w:tcPr>
            <w:tcW w:w="1545"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tc>
        <w:tc>
          <w:tcPr>
            <w:tcW w:w="1066" w:type="dxa"/>
            <w:tcBorders>
              <w:top w:val="single" w:sz="4" w:space="0" w:color="000000"/>
              <w:left w:val="single" w:sz="4" w:space="0" w:color="000000"/>
              <w:bottom w:val="single" w:sz="12" w:space="0" w:color="000000"/>
              <w:right w:val="single" w:sz="4" w:space="0" w:color="000000"/>
            </w:tcBorders>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2026-08-10</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73,192</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9.2553</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9.3380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9.1680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2026-08-10</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45,822</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9.2596</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9.3380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9.1540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2026-08-10</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12.5650</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12.6300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12.4200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2026-08-11</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93,113</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9.4036</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9.5100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9.1860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2026-08-11</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9.3791</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9.5100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9.1880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2026-08-11</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12.7894</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12.8850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12.5600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2026-08-12</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125,000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9.1635</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9.0720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2026-08-12</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9.1757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9.0760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2026-08-12</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25,000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9.1788</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9.2960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9.0860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BATE</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2026-08-12</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125,000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12.3527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12.5300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12.2700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2026-08-13</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9.3711</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9.4300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9.3180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2026-08-13</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12.7146</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12.9400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12.5900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2026-08-14</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47,387</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9.6289</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9.6760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9.5840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2026-08-14</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13.0719</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13.1400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13.0000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http://www.rns-pdf.londonstockexchange.com/rns/0276R_1-2026-8-17.pdf</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725" w:type="dxa"/>
        <w:jc w:val="left"/>
        <w:tblInd w:w="0" w:type="dxa"/>
        <w:tblLayout w:type="fixed"/>
        <w:tblCellMar>
          <w:top w:w="0" w:type="dxa"/>
          <w:left w:w="0" w:type="dxa"/>
          <w:bottom w:w="0" w:type="dxa"/>
          <w:right w:w="0" w:type="dxa"/>
        </w:tblCellMar>
      </w:tblPr>
      <w:tblGrid>
        <w:gridCol w:w="1865"/>
        <w:gridCol w:w="60"/>
        <w:gridCol w:w="60"/>
        <w:gridCol w:w="60"/>
        <w:gridCol w:w="545"/>
        <w:gridCol w:w="60"/>
        <w:gridCol w:w="2075"/>
      </w:tblGrid>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186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18 August,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207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18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3697</Characters>
  <CharactersWithSpaces>4296</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