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May 11,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Wise Group plc</w:t>
      </w:r>
    </w:p>
    <w:p>
      <w:pPr>
        <w:spacing w:after="0" w:line="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Jersey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0" w:lineRule="exact"/>
        <w:rPr>
          <w:sz w:val="24"/>
          <w:szCs w:val="24"/>
          <w:color w:val="auto"/>
        </w:rPr>
      </w:pPr>
    </w:p>
    <w:p>
      <w:pPr>
        <w:sectPr>
          <w:pgSz w:w="11900" w:h="16838" w:orient="portrait"/>
          <w:cols w:equalWidth="0" w:num="2">
            <w:col w:w="7380" w:space="720"/>
            <w:col w:w="2740"/>
          </w:cols>
          <w:pgMar w:left="500" w:top="224" w:right="55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97" w:lineRule="exact"/>
        <w:rPr>
          <w:sz w:val="24"/>
          <w:szCs w:val="24"/>
          <w:color w:val="auto"/>
        </w:rPr>
      </w:pPr>
    </w:p>
    <w:p>
      <w:pPr>
        <w:sectPr>
          <w:pgSz w:w="11900" w:h="16838" w:orient="portrait"/>
          <w:cols w:equalWidth="0" w:num="2">
            <w:col w:w="6820" w:space="720"/>
            <w:col w:w="3300"/>
          </w:cols>
          <w:pgMar w:left="500" w:top="224" w:right="5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1st Floor, Worship Square</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65 Clifton Street</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London EC2A 4JE</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Kingdom</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0840"/>
          </w:cols>
          <w:pgMar w:left="500" w:top="224" w:right="559" w:bottom="1440" w:gutter="0" w:footer="0" w:header="0"/>
          <w:type w:val="continuous"/>
        </w:sectPr>
      </w:pPr>
    </w:p>
    <w:p>
      <w:pPr>
        <w:spacing w:after="0" w:line="184" w:lineRule="exact"/>
        <w:rPr>
          <w:sz w:val="24"/>
          <w:szCs w:val="24"/>
          <w:color w:val="auto"/>
        </w:rPr>
      </w:pPr>
    </w:p>
    <w:p>
      <w:pPr>
        <w:jc w:val="center"/>
        <w:ind w:left="560" w:right="2600"/>
        <w:spacing w:after="0" w:line="252" w:lineRule="auto"/>
        <w:rPr>
          <w:sz w:val="20"/>
          <w:szCs w:val="20"/>
          <w:color w:val="auto"/>
        </w:rPr>
      </w:pPr>
      <w:r>
        <w:rPr>
          <w:rFonts w:ascii="Times New Roman" w:cs="Times New Roman" w:eastAsia="Times New Roman" w:hAnsi="Times New Roman"/>
          <w:sz w:val="18"/>
          <w:szCs w:val="18"/>
          <w:b w:val="1"/>
          <w:bCs w:val="1"/>
          <w:color w:val="auto"/>
        </w:rPr>
        <w:t>TransferWise 2016 Share Option Plan Rules of the TransferWise 2021 Equity Incentive Plan Rules of the Wise plc Long Term Incentive Plan Wise Group plc 2026 Equity Incentive Plan with Non-Employee Sub-Plan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Wise US, Inc.</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 W. 26th St, Sixth Floor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NY 10010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 (844) 926-4380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David Peinsipp</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Jean Park</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Trey Reilly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 Hudson Yards</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4"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 in the plans covered by this Registration Statement as specified by Rule 428(b)(1) under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of the Securities Act.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INCORPORATION OF DOCUMENTS BY REFERENCE.</w:t>
      </w:r>
    </w:p>
    <w:p>
      <w:pPr>
        <w:spacing w:after="0" w:line="118"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color w:val="auto"/>
        </w:rPr>
        <w:t>The reports or documents listed below have been filed with the Commission by Wise Group plc (the “Registrant”) and are incorporated herein by reference to the extent not superseded by documents or reports subsequently filed:</w:t>
      </w:r>
    </w:p>
    <w:p>
      <w:pPr>
        <w:spacing w:after="0" w:line="70" w:lineRule="exact"/>
        <w:rPr>
          <w:sz w:val="20"/>
          <w:szCs w:val="20"/>
          <w:color w:val="auto"/>
        </w:rPr>
      </w:pPr>
    </w:p>
    <w:p>
      <w:pPr>
        <w:ind w:left="960" w:right="420" w:hanging="539"/>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Registration Statement on </w:t>
      </w:r>
      <w:hyperlink r:id="rId18">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declared effective by the Commission on May 8, 2026), including the description of the Registrant’s Class A ordinary shares contained therein, including any amendment or report filed for the purposes of updating, changing or otherwise modifying such description.</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Securities Exchange Act of 1934, as amended (the “Exchange Act”), subsequent to the date of this Registration Statement and prior to the filing of a post-effective amendment to this Registration Statement which indicate that all securities offered hereby have been sold or which deregister all securities then remaining unsold, including any Reports of Foreign Private Issuers on Form 6-K submitted during such period (or portion thereof) that is identified in such form as being incorporated by reference into this Registration Statement, shall be deemed to be incorporated by reference in this Registration Statement and to be a part hereof from the date of the filing of such documents. The Registrant is not incorporating by reference any documents or portions thereof, whether specifically listed above or filed in the future, that are not deemed “filed” with the Commission.</w:t>
      </w:r>
    </w:p>
    <w:p>
      <w:pPr>
        <w:spacing w:after="0" w:line="18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0"/>
          </w:cols>
          <w:pgMar w:left="500" w:top="264"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6. INDEMNIFICATION OF DIRECTORS AND OFFICERS.</w:t>
      </w:r>
    </w:p>
    <w:p>
      <w:pPr>
        <w:spacing w:after="0" w:line="11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Companies (Jersey) Law 1991, as amended (the “Jersey Companies Law”) does not contain any provision permitting Jersey companies to limit the liabilities of directors for breach of fiduciary duty. However, a Jersey company may exempt from liability and indemnify directors and officers for liabilities:</w:t>
      </w:r>
    </w:p>
    <w:p>
      <w:pPr>
        <w:spacing w:after="0" w:line="84" w:lineRule="exact"/>
        <w:rPr>
          <w:sz w:val="20"/>
          <w:szCs w:val="20"/>
          <w:color w:val="auto"/>
        </w:rPr>
      </w:pPr>
    </w:p>
    <w:p>
      <w:pPr>
        <w:ind w:left="960" w:hanging="539"/>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in defending any civil or criminal legal proceedings where:</w:t>
      </w:r>
    </w:p>
    <w:p>
      <w:pPr>
        <w:spacing w:after="0" w:line="126" w:lineRule="exact"/>
        <w:rPr>
          <w:rFonts w:ascii="Times New Roman" w:cs="Times New Roman" w:eastAsia="Times New Roman" w:hAnsi="Times New Roman"/>
          <w:sz w:val="18"/>
          <w:szCs w:val="18"/>
          <w:color w:val="auto"/>
        </w:rPr>
      </w:pPr>
    </w:p>
    <w:p>
      <w:pPr>
        <w:ind w:left="2060" w:hanging="543"/>
        <w:spacing w:after="0"/>
        <w:tabs>
          <w:tab w:leader="none" w:pos="2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 is given in the person’s favor or the person is acquitted;</w:t>
      </w:r>
    </w:p>
    <w:p>
      <w:pPr>
        <w:spacing w:after="0" w:line="126" w:lineRule="exact"/>
        <w:rPr>
          <w:rFonts w:ascii="Times New Roman" w:cs="Times New Roman" w:eastAsia="Times New Roman" w:hAnsi="Times New Roman"/>
          <w:sz w:val="18"/>
          <w:szCs w:val="18"/>
          <w:color w:val="auto"/>
        </w:rPr>
      </w:pPr>
    </w:p>
    <w:p>
      <w:pPr>
        <w:ind w:left="2060" w:right="220" w:hanging="543"/>
        <w:spacing w:after="0" w:line="277" w:lineRule="auto"/>
        <w:tabs>
          <w:tab w:leader="none" w:pos="2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are discontinued other than by reason of such person (or someone on their behalf) giving some benefit or suffering some detriment; or</w:t>
      </w:r>
    </w:p>
    <w:p>
      <w:pPr>
        <w:spacing w:after="0" w:line="69" w:lineRule="exact"/>
        <w:rPr>
          <w:rFonts w:ascii="Times New Roman" w:cs="Times New Roman" w:eastAsia="Times New Roman" w:hAnsi="Times New Roman"/>
          <w:sz w:val="18"/>
          <w:szCs w:val="18"/>
          <w:color w:val="auto"/>
        </w:rPr>
      </w:pPr>
    </w:p>
    <w:p>
      <w:pPr>
        <w:jc w:val="both"/>
        <w:ind w:left="2060" w:right="480" w:hanging="543"/>
        <w:spacing w:after="0" w:line="262" w:lineRule="auto"/>
        <w:tabs>
          <w:tab w:leader="none" w:pos="2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are settled on terms that such person (or someone on their behalf) gives some benefit or suffers some detriment but in the opinion of a majority of the disinterested directors, the person was substantially successful on the merits in the person’s resistance to the proceedings;</w:t>
      </w:r>
    </w:p>
    <w:p>
      <w:pPr>
        <w:spacing w:after="0" w:line="83"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to anyone other than to the company if the person acted in good faith with a view to the best interests of the company;</w:t>
      </w:r>
    </w:p>
    <w:p>
      <w:pPr>
        <w:spacing w:after="0" w:line="126" w:lineRule="exact"/>
        <w:rPr>
          <w:rFonts w:ascii="Times New Roman" w:cs="Times New Roman" w:eastAsia="Times New Roman" w:hAnsi="Times New Roman"/>
          <w:sz w:val="18"/>
          <w:szCs w:val="18"/>
          <w:color w:val="auto"/>
        </w:rPr>
      </w:pPr>
    </w:p>
    <w:p>
      <w:pPr>
        <w:ind w:left="960" w:right="320" w:hanging="539"/>
        <w:spacing w:after="0" w:line="27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in connection with an application made to the court for relief from liability for negligence, default, breach of duty or breach of trust under Article 212 of the Jersey Companies Law in which relief is granted to the person by the court; or</w:t>
      </w:r>
    </w:p>
    <w:p>
      <w:pPr>
        <w:spacing w:after="0" w:line="69"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in a case in which the company normally maintains insurance for persons other than directors.</w:t>
      </w:r>
    </w:p>
    <w:p>
      <w:pPr>
        <w:spacing w:after="0" w:line="22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Subject to the provisions of the Jersey Companies Law, the Registrant’s Articles of Association provide that every director or other officer of the Registrant shall be indemnified out of the assets of the Registrant against any liability incurred by such individual for negligence, default, breach of duty, breach of trust or otherwise in relation to the affairs of the Registrant.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22"/>
                <w:szCs w:val="22"/>
                <w:color w:val="auto"/>
              </w:rPr>
            </w:pPr>
          </w:p>
        </w:tc>
        <w:tc>
          <w:tcPr>
            <w:tcW w:w="9880" w:type="dxa"/>
            <w:vAlign w:val="bottom"/>
            <w:gridSpan w:val="15"/>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of Memorandum and Articles of Association of the Registrant (incorporated by reference to Exhibit 1.2 to the Registrant’s</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80" w:type="dxa"/>
            <w:vAlign w:val="bottom"/>
            <w:tcBorders>
              <w:top w:val="single" w:sz="8" w:color="0000EE"/>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Registration Statement on Form 20-F, filed on April 10, 2026).</w:t>
              </w:r>
            </w:hyperlink>
          </w:p>
        </w:tc>
        <w:tc>
          <w:tcPr>
            <w:tcW w:w="4660" w:type="dxa"/>
            <w:vAlign w:val="bottom"/>
            <w:tcBorders>
              <w:top w:val="single" w:sz="8" w:color="0000EE"/>
            </w:tcBorders>
            <w:gridSpan w:val="2"/>
          </w:tcPr>
          <w:p>
            <w:pPr>
              <w:spacing w:after="0"/>
              <w:rPr>
                <w:sz w:val="16"/>
                <w:szCs w:val="16"/>
                <w:color w:val="auto"/>
              </w:rPr>
            </w:pPr>
          </w:p>
        </w:tc>
        <w:tc>
          <w:tcPr>
            <w:tcW w:w="7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Pr>
          <w:p>
            <w:pPr>
              <w:spacing w:after="0"/>
              <w:rPr>
                <w:sz w:val="24"/>
                <w:szCs w:val="24"/>
                <w:color w:val="auto"/>
              </w:rPr>
            </w:pPr>
          </w:p>
        </w:tc>
        <w:tc>
          <w:tcPr>
            <w:tcW w:w="98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Opinion of Ogier (Jersey) LLP.</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65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Consent of PricewaterhouseCoopers LLP, Independent Registered Public Accounting Firm.</w:t>
            </w:r>
          </w:p>
        </w:tc>
        <w:tc>
          <w:tcPr>
            <w:tcW w:w="3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24"/>
                <w:szCs w:val="24"/>
                <w:color w:val="auto"/>
              </w:rPr>
            </w:pPr>
          </w:p>
        </w:tc>
        <w:tc>
          <w:tcPr>
            <w:tcW w:w="40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Consent of Ogier (Jersey) LLP (included in Exhibit 5.1).</w:t>
            </w:r>
          </w:p>
        </w:tc>
        <w:tc>
          <w:tcPr>
            <w:tcW w:w="5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Pr>
          <w:p>
            <w:pPr>
              <w:spacing w:after="0"/>
              <w:rPr>
                <w:sz w:val="24"/>
                <w:szCs w:val="24"/>
                <w:color w:val="auto"/>
              </w:rPr>
            </w:pPr>
          </w:p>
        </w:tc>
        <w:tc>
          <w:tcPr>
            <w:tcW w:w="3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the signature page).</w:t>
            </w:r>
          </w:p>
        </w:tc>
        <w:tc>
          <w:tcPr>
            <w:tcW w:w="61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97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TransferWise 2016 Share Option Plan (incorporated by reference to Exhibit 4.3 to the Registrant’s Registration Statement on Form 20-F,</w:t>
              </w:r>
            </w:hyperlink>
          </w:p>
        </w:tc>
        <w:tc>
          <w:tcPr>
            <w:tcW w:w="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80" w:type="dxa"/>
            <w:vAlign w:val="bottom"/>
            <w:gridSpan w:val="15"/>
          </w:tcPr>
          <w:p>
            <w:pPr>
              <w:spacing w:after="0" w:line="194"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filed on April 10, 2026).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4"/>
                <w:szCs w:val="24"/>
                <w:color w:val="auto"/>
              </w:rPr>
            </w:pPr>
          </w:p>
        </w:tc>
        <w:tc>
          <w:tcPr>
            <w:tcW w:w="98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Rules of the TransferWise 2021 Equity Incentive Plan (incorporated by reference to Exhibit 4.4 to the Registrant’s Registration Statement</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80" w:type="dxa"/>
            <w:vAlign w:val="bottom"/>
            <w:gridSpan w:val="15"/>
          </w:tcPr>
          <w:p>
            <w:pPr>
              <w:spacing w:after="0" w:line="194"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on Form 20-F, filed on April 10, 2026).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20" w:type="dxa"/>
            <w:vAlign w:val="bottom"/>
          </w:tcPr>
          <w:p>
            <w:pPr>
              <w:spacing w:after="0"/>
              <w:rPr>
                <w:sz w:val="24"/>
                <w:szCs w:val="24"/>
                <w:color w:val="auto"/>
              </w:rPr>
            </w:pPr>
          </w:p>
        </w:tc>
        <w:tc>
          <w:tcPr>
            <w:tcW w:w="96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Rules of the Wise plc Long Term Incentive Plan (incorporated by reference to Exhibit 4.5 to the Registrant’s Registration Statement on</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80" w:type="dxa"/>
            <w:vAlign w:val="bottom"/>
            <w:gridSpan w:val="15"/>
          </w:tcPr>
          <w:p>
            <w:pPr>
              <w:spacing w:after="0" w:line="194"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Form 20-F, filed on April 10, 2026).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512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520" w:type="dxa"/>
            <w:vAlign w:val="bottom"/>
          </w:tcPr>
          <w:p>
            <w:pPr>
              <w:spacing w:after="0"/>
              <w:rPr>
                <w:sz w:val="24"/>
                <w:szCs w:val="24"/>
                <w:color w:val="auto"/>
              </w:rPr>
            </w:pPr>
          </w:p>
        </w:tc>
        <w:tc>
          <w:tcPr>
            <w:tcW w:w="96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Wise Group plc 2026 Equity Incentive Plan with Non-Employee Sub-Plan (incorporated by reference to Exhibit 4.6 to the Registrant’s</w:t>
              </w:r>
            </w:hyperlink>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48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Registration Statement on Form 20-F, filed on April 10, 2026).</w:t>
              </w:r>
            </w:hyperlink>
          </w:p>
        </w:tc>
        <w:tc>
          <w:tcPr>
            <w:tcW w:w="540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6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755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0900"/>
          </w:cols>
          <w:pgMar w:left="500" w:top="264" w:right="499" w:bottom="1440" w:gutter="0" w:footer="0" w:header="0"/>
        </w:sectPr>
      </w:pPr>
    </w:p>
    <w:bookmarkStart w:id="3" w:name="page4"/>
    <w:bookmarkEnd w:id="3"/>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9. UNDERTAKINGS.</w:t>
      </w:r>
    </w:p>
    <w:p>
      <w:pPr>
        <w:spacing w:after="0" w:line="131" w:lineRule="exact"/>
        <w:rPr>
          <w:sz w:val="20"/>
          <w:szCs w:val="20"/>
          <w:color w:val="auto"/>
        </w:rPr>
      </w:pPr>
    </w:p>
    <w:p>
      <w:pPr>
        <w:ind w:left="426" w:hanging="426"/>
        <w:spacing w:after="0"/>
        <w:tabs>
          <w:tab w:leader="none" w:pos="42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26" w:lineRule="exact"/>
        <w:rPr>
          <w:rFonts w:ascii="Times New Roman" w:cs="Times New Roman" w:eastAsia="Times New Roman" w:hAnsi="Times New Roman"/>
          <w:sz w:val="18"/>
          <w:szCs w:val="18"/>
          <w:color w:val="auto"/>
        </w:rPr>
      </w:pPr>
    </w:p>
    <w:p>
      <w:pPr>
        <w:ind w:left="1406" w:hanging="431"/>
        <w:spacing w:after="0"/>
        <w:tabs>
          <w:tab w:leader="none" w:pos="140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26" w:lineRule="exact"/>
        <w:rPr>
          <w:rFonts w:ascii="Times New Roman" w:cs="Times New Roman" w:eastAsia="Times New Roman" w:hAnsi="Times New Roman"/>
          <w:sz w:val="18"/>
          <w:szCs w:val="18"/>
          <w:color w:val="auto"/>
        </w:rPr>
      </w:pPr>
    </w:p>
    <w:p>
      <w:pPr>
        <w:ind w:left="1406" w:right="40" w:hanging="431"/>
        <w:spacing w:after="0" w:line="252" w:lineRule="auto"/>
        <w:tabs>
          <w:tab w:leader="none" w:pos="140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5" w:lineRule="exact"/>
        <w:rPr>
          <w:rFonts w:ascii="Times New Roman" w:cs="Times New Roman" w:eastAsia="Times New Roman" w:hAnsi="Times New Roman"/>
          <w:sz w:val="18"/>
          <w:szCs w:val="18"/>
          <w:color w:val="auto"/>
        </w:rPr>
      </w:pPr>
    </w:p>
    <w:p>
      <w:pPr>
        <w:ind w:left="1406" w:right="140" w:hanging="431"/>
        <w:spacing w:after="0" w:line="277" w:lineRule="auto"/>
        <w:tabs>
          <w:tab w:leader="none" w:pos="1406"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ind w:left="6" w:right="220"/>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SEC by the Registrant pursuant to section 13 or 15(d) of the Securities Exchange Act of 1934 that are incorporated by reference in the registration statement.</w:t>
      </w:r>
    </w:p>
    <w:p>
      <w:pPr>
        <w:spacing w:after="0" w:line="83" w:lineRule="exact"/>
        <w:rPr>
          <w:sz w:val="20"/>
          <w:szCs w:val="20"/>
          <w:color w:val="auto"/>
        </w:rPr>
      </w:pPr>
    </w:p>
    <w:p>
      <w:pPr>
        <w:ind w:left="966" w:hanging="539"/>
        <w:spacing w:after="0" w:line="262" w:lineRule="auto"/>
        <w:tabs>
          <w:tab w:leader="none" w:pos="96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3" w:lineRule="exact"/>
        <w:rPr>
          <w:rFonts w:ascii="Times New Roman" w:cs="Times New Roman" w:eastAsia="Times New Roman" w:hAnsi="Times New Roman"/>
          <w:sz w:val="18"/>
          <w:szCs w:val="18"/>
          <w:color w:val="auto"/>
        </w:rPr>
      </w:pPr>
    </w:p>
    <w:p>
      <w:pPr>
        <w:ind w:left="966" w:right="320" w:hanging="539"/>
        <w:spacing w:after="0" w:line="277" w:lineRule="auto"/>
        <w:tabs>
          <w:tab w:leader="none" w:pos="96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9" w:lineRule="exact"/>
        <w:rPr>
          <w:rFonts w:ascii="Times New Roman" w:cs="Times New Roman" w:eastAsia="Times New Roman" w:hAnsi="Times New Roman"/>
          <w:sz w:val="18"/>
          <w:szCs w:val="18"/>
          <w:color w:val="auto"/>
        </w:rPr>
      </w:pPr>
    </w:p>
    <w:p>
      <w:pPr>
        <w:ind w:left="426" w:right="180" w:hanging="426"/>
        <w:spacing w:after="0" w:line="255" w:lineRule="auto"/>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Times New Roman" w:cs="Times New Roman" w:eastAsia="Times New Roman" w:hAnsi="Times New Roman"/>
          <w:sz w:val="18"/>
          <w:szCs w:val="18"/>
          <w:color w:val="auto"/>
        </w:rPr>
      </w:pPr>
    </w:p>
    <w:p>
      <w:pPr>
        <w:ind w:left="426" w:right="40" w:hanging="426"/>
        <w:spacing w:after="0" w:line="252" w:lineRule="auto"/>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66"/>
          </w:cols>
          <w:pgMar w:left="494" w:top="264" w:right="5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London, United Kingdom on May 11,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WISE GROUP PLC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Kristo Käärmann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15875</wp:posOffset>
            </wp:positionV>
            <wp:extent cx="25361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Kristo Käärmann</w:t>
      </w:r>
    </w:p>
    <w:p>
      <w:pPr>
        <w:spacing w:after="0" w:line="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800"/>
          </w:cols>
          <w:pgMar w:left="500" w:top="264" w:right="5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w:t>
      </w:r>
    </w:p>
    <w:p>
      <w:pPr>
        <w:spacing w:after="0" w:line="22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KNOW ALL BY THESE PRESENTS, that each person whose signature appears below constitutes and appoints Kristo Käärmann and Emmanuel Thomassin,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89"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indicated on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1"/>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Kristo Käärmann</w:t>
            </w:r>
          </w:p>
        </w:tc>
        <w:tc>
          <w:tcPr>
            <w:tcW w:w="10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Executive Officer and Executive 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2026</w:t>
            </w:r>
          </w:p>
        </w:tc>
      </w:tr>
      <w:tr>
        <w:trPr>
          <w:trHeight w:val="22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Kristo Käärmann</w:t>
            </w:r>
          </w:p>
        </w:tc>
        <w:tc>
          <w:tcPr>
            <w:tcW w:w="100" w:type="dxa"/>
            <w:vAlign w:val="bottom"/>
          </w:tcPr>
          <w:p>
            <w:pPr>
              <w:spacing w:after="0"/>
              <w:rPr>
                <w:sz w:val="19"/>
                <w:szCs w:val="19"/>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840" w:type="dxa"/>
            <w:vAlign w:val="bottom"/>
          </w:tcPr>
          <w:p>
            <w:pPr>
              <w:spacing w:after="0"/>
              <w:rPr>
                <w:sz w:val="19"/>
                <w:szCs w:val="19"/>
                <w:color w:val="auto"/>
              </w:rPr>
            </w:pPr>
          </w:p>
        </w:tc>
      </w:tr>
      <w:tr>
        <w:trPr>
          <w:trHeight w:val="3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Emmanuel Thomassin</w:t>
            </w:r>
          </w:p>
        </w:tc>
        <w:tc>
          <w:tcPr>
            <w:tcW w:w="10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Financial Officer and Executive 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2026</w:t>
            </w:r>
          </w:p>
        </w:tc>
      </w:tr>
      <w:tr>
        <w:trPr>
          <w:trHeight w:val="22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Emmanuel Thomassin</w:t>
            </w:r>
          </w:p>
        </w:tc>
        <w:tc>
          <w:tcPr>
            <w:tcW w:w="100" w:type="dxa"/>
            <w:vAlign w:val="bottom"/>
          </w:tcPr>
          <w:p>
            <w:pPr>
              <w:spacing w:after="0"/>
              <w:rPr>
                <w:sz w:val="19"/>
                <w:szCs w:val="19"/>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Financial and Accounting Officer</w:t>
            </w:r>
            <w:r>
              <w:rPr>
                <w:rFonts w:ascii="Times New Roman" w:cs="Times New Roman" w:eastAsia="Times New Roman" w:hAnsi="Times New Roman"/>
                <w:sz w:val="18"/>
                <w:szCs w:val="18"/>
                <w:color w:val="auto"/>
                <w:w w:val="98"/>
              </w:rPr>
              <w:t>)</w:t>
            </w:r>
          </w:p>
        </w:tc>
        <w:tc>
          <w:tcPr>
            <w:tcW w:w="2840" w:type="dxa"/>
            <w:vAlign w:val="bottom"/>
          </w:tcPr>
          <w:p>
            <w:pPr>
              <w:spacing w:after="0"/>
              <w:rPr>
                <w:sz w:val="19"/>
                <w:szCs w:val="19"/>
                <w:color w:val="auto"/>
              </w:rPr>
            </w:pPr>
          </w:p>
        </w:tc>
      </w:tr>
      <w:tr>
        <w:trPr>
          <w:trHeight w:val="3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Wells</w:t>
            </w:r>
          </w:p>
        </w:tc>
        <w:tc>
          <w:tcPr>
            <w:tcW w:w="10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 of the Board of Directors</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2026</w:t>
            </w:r>
          </w:p>
        </w:tc>
      </w:tr>
      <w:tr>
        <w:trPr>
          <w:trHeight w:val="22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David Wells</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Clare Gilmartin</w:t>
            </w:r>
          </w:p>
        </w:tc>
        <w:tc>
          <w:tcPr>
            <w:tcW w:w="10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Senior Independent 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2026</w:t>
            </w:r>
          </w:p>
        </w:tc>
      </w:tr>
      <w:tr>
        <w:trPr>
          <w:trHeight w:val="22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Clare Gilmartin</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Elizabeth Chambers</w:t>
            </w:r>
          </w:p>
        </w:tc>
        <w:tc>
          <w:tcPr>
            <w:tcW w:w="10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Non-Executive 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2026</w:t>
            </w:r>
          </w:p>
        </w:tc>
      </w:tr>
      <w:tr>
        <w:trPr>
          <w:trHeight w:val="22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Elizabeth Chambers</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Terri Duhon</w:t>
            </w:r>
          </w:p>
        </w:tc>
        <w:tc>
          <w:tcPr>
            <w:tcW w:w="10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Non-Executive 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2026</w:t>
            </w:r>
          </w:p>
        </w:tc>
      </w:tr>
      <w:tr>
        <w:trPr>
          <w:trHeight w:val="22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Terri Duhon</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Scott Hill</w:t>
            </w:r>
          </w:p>
        </w:tc>
        <w:tc>
          <w:tcPr>
            <w:tcW w:w="10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Non-Executive 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2026</w:t>
            </w:r>
          </w:p>
        </w:tc>
      </w:tr>
      <w:tr>
        <w:trPr>
          <w:trHeight w:val="22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Scott Hill</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Alastair Rampell</w:t>
            </w:r>
          </w:p>
        </w:tc>
        <w:tc>
          <w:tcPr>
            <w:tcW w:w="10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Non-Executive 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2026</w:t>
            </w:r>
          </w:p>
        </w:tc>
      </w:tr>
      <w:tr>
        <w:trPr>
          <w:trHeight w:val="22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Alastair Rampell</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r>
      <w:tr>
        <w:trPr>
          <w:trHeight w:val="315"/>
        </w:trPr>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Hooi Ling Tan</w:t>
            </w:r>
          </w:p>
        </w:tc>
        <w:tc>
          <w:tcPr>
            <w:tcW w:w="10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Non-Executive Director</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2026</w:t>
            </w:r>
          </w:p>
        </w:tc>
      </w:tr>
      <w:tr>
        <w:trPr>
          <w:trHeight w:val="226"/>
        </w:trPr>
        <w:tc>
          <w:tcPr>
            <w:tcW w:w="3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Hooi Ling Tan</w:t>
            </w:r>
          </w:p>
        </w:tc>
        <w:tc>
          <w:tcPr>
            <w:tcW w:w="1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 OF AUTHORIZED U.S. REPRESENTATIVE OF THE REGISTRANT</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authorized representative in the United States of the Registrant has signed this Registration Statement on May 11,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Wise US, Inc.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Kristo Käärmann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15875</wp:posOffset>
            </wp:positionV>
            <wp:extent cx="25444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544445" cy="8255"/>
                    </a:xfrm>
                    <a:prstGeom prst="rect">
                      <a:avLst/>
                    </a:prstGeom>
                    <a:noFill/>
                  </pic:spPr>
                </pic:pic>
              </a:graphicData>
            </a:graphic>
          </wp:anchor>
        </w:drawing>
      </w:r>
    </w:p>
    <w:p>
      <w:pPr>
        <w:spacing w:after="0" w:line="1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Kristo Käärmann</w:t>
      </w:r>
    </w:p>
    <w:p>
      <w:pPr>
        <w:spacing w:after="0" w:line="2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820"/>
          </w:cols>
          <w:pgMar w:left="500" w:top="264" w:right="5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178435</wp:posOffset>
            </wp:positionV>
            <wp:extent cx="1170305" cy="560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70305" cy="560070"/>
                    </a:xfrm>
                    <a:prstGeom prst="rect">
                      <a:avLst/>
                    </a:prstGeom>
                    <a:noFill/>
                  </pic:spPr>
                </pic:pic>
              </a:graphicData>
            </a:graphic>
          </wp:anchor>
        </w:drawing>
      </w:r>
    </w:p>
    <w:p>
      <w:pPr>
        <w:sectPr>
          <w:pgSz w:w="11900" w:h="16838" w:orient="portrait"/>
          <w:cols w:equalWidth="0" w:num="1">
            <w:col w:w="10906"/>
          </w:cols>
          <w:pgMar w:left="494" w:top="117"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Directors</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Wise Group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+44 1534 514239</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Raulin.Amy@ogier.com</w:t>
      </w:r>
    </w:p>
    <w:p>
      <w:pPr>
        <w:spacing w:after="0" w:line="18" w:lineRule="exact"/>
        <w:rPr>
          <w:sz w:val="20"/>
          <w:szCs w:val="20"/>
          <w:color w:val="auto"/>
        </w:rPr>
      </w:pPr>
    </w:p>
    <w:p>
      <w:pPr>
        <w:sectPr>
          <w:pgSz w:w="11900" w:h="16838" w:orient="portrait"/>
          <w:cols w:equalWidth="0" w:num="2">
            <w:col w:w="4966" w:space="720"/>
            <w:col w:w="5220"/>
          </w:cols>
          <w:pgMar w:left="494" w:top="117" w:right="49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8"/>
          <w:szCs w:val="18"/>
          <w:color w:val="auto"/>
        </w:rPr>
        <w:t>3rd Floor</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44 Esplanade</w:t>
      </w:r>
    </w:p>
    <w:p>
      <w:pPr>
        <w:sectPr>
          <w:pgSz w:w="11900" w:h="16838" w:orient="portrait"/>
          <w:cols w:equalWidth="0" w:num="1">
            <w:col w:w="10906"/>
          </w:cols>
          <w:pgMar w:left="494" w:top="117" w:right="499" w:bottom="1440" w:gutter="0" w:footer="0" w:header="0"/>
          <w:type w:val="continuous"/>
        </w:sectPr>
      </w:pP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St. Helier</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JE4 9WG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Reference: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RAA/MKW/513839.00001</w:t>
      </w:r>
    </w:p>
    <w:p>
      <w:pPr>
        <w:spacing w:after="0" w:line="18" w:lineRule="exact"/>
        <w:rPr>
          <w:sz w:val="20"/>
          <w:szCs w:val="20"/>
          <w:color w:val="auto"/>
        </w:rPr>
      </w:pPr>
    </w:p>
    <w:p>
      <w:pPr>
        <w:sectPr>
          <w:pgSz w:w="11900" w:h="16838" w:orient="portrait"/>
          <w:cols w:equalWidth="0" w:num="2">
            <w:col w:w="4966" w:space="720"/>
            <w:col w:w="5220"/>
          </w:cols>
          <w:pgMar w:left="494" w:top="117" w:right="499" w:bottom="1440" w:gutter="0" w:footer="0" w:header="0"/>
          <w:type w:val="continuous"/>
        </w:sectPr>
      </w:pPr>
    </w:p>
    <w:p>
      <w:pPr>
        <w:ind w:left="6"/>
        <w:spacing w:after="0"/>
        <w:rPr>
          <w:sz w:val="20"/>
          <w:szCs w:val="20"/>
          <w:color w:val="auto"/>
        </w:rPr>
      </w:pPr>
      <w:r>
        <w:rPr>
          <w:rFonts w:ascii="Times New Roman" w:cs="Times New Roman" w:eastAsia="Times New Roman" w:hAnsi="Times New Roman"/>
          <w:sz w:val="18"/>
          <w:szCs w:val="18"/>
          <w:color w:val="auto"/>
        </w:rPr>
        <w:t>Jersey</w:t>
      </w:r>
    </w:p>
    <w:p>
      <w:pPr>
        <w:spacing w:after="0" w:line="202" w:lineRule="exact"/>
        <w:rPr>
          <w:sz w:val="20"/>
          <w:szCs w:val="20"/>
          <w:color w:val="auto"/>
        </w:rPr>
      </w:pPr>
    </w:p>
    <w:p>
      <w:pPr>
        <w:ind w:left="5686"/>
        <w:spacing w:after="0"/>
        <w:rPr>
          <w:sz w:val="20"/>
          <w:szCs w:val="20"/>
          <w:color w:val="auto"/>
        </w:rPr>
      </w:pPr>
      <w:r>
        <w:rPr>
          <w:rFonts w:ascii="Times New Roman" w:cs="Times New Roman" w:eastAsia="Times New Roman" w:hAnsi="Times New Roman"/>
          <w:sz w:val="17"/>
          <w:szCs w:val="17"/>
          <w:color w:val="auto"/>
        </w:rPr>
        <w:t>11 May 2026</w:t>
      </w:r>
    </w:p>
    <w:p>
      <w:pPr>
        <w:sectPr>
          <w:pgSz w:w="11900" w:h="16838" w:orient="portrait"/>
          <w:cols w:equalWidth="0" w:num="1">
            <w:col w:w="10906"/>
          </w:cols>
          <w:pgMar w:left="494" w:top="117" w:right="499" w:bottom="1440" w:gutter="0" w:footer="0" w:header="0"/>
          <w:type w:val="continuous"/>
        </w:sectPr>
      </w:pPr>
    </w:p>
    <w:p>
      <w:pPr>
        <w:spacing w:after="0" w:line="23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Dear Directors</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Wise Group plc (the Company) – Registration of Plan Shares under the US Securities Act of 1933, as amended (the Securities Act)</w:t>
      </w:r>
    </w:p>
    <w:p>
      <w:pPr>
        <w:spacing w:after="0" w:line="127" w:lineRule="exact"/>
        <w:rPr>
          <w:sz w:val="20"/>
          <w:szCs w:val="20"/>
          <w:color w:val="auto"/>
        </w:rPr>
      </w:pPr>
    </w:p>
    <w:p>
      <w:pPr>
        <w:ind w:left="426" w:hanging="426"/>
        <w:spacing w:after="0"/>
        <w:tabs>
          <w:tab w:leader="none" w:pos="426"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127" w:lineRule="exact"/>
        <w:rPr>
          <w:sz w:val="20"/>
          <w:szCs w:val="20"/>
          <w:color w:val="auto"/>
        </w:rPr>
      </w:pPr>
    </w:p>
    <w:p>
      <w:pPr>
        <w:ind w:left="426" w:right="120" w:hanging="427"/>
        <w:spacing w:after="0" w:line="256" w:lineRule="auto"/>
        <w:tabs>
          <w:tab w:leader="none" w:pos="406" w:val="left"/>
        </w:tabs>
        <w:rPr>
          <w:sz w:val="20"/>
          <w:szCs w:val="20"/>
          <w:color w:val="auto"/>
        </w:rPr>
      </w:pPr>
      <w:r>
        <w:rPr>
          <w:rFonts w:ascii="Times New Roman" w:cs="Times New Roman" w:eastAsia="Times New Roman" w:hAnsi="Times New Roman"/>
          <w:sz w:val="18"/>
          <w:szCs w:val="18"/>
          <w:color w:val="auto"/>
        </w:rPr>
        <w:t>1.1</w:t>
        <w:tab/>
        <w:t xml:space="preserve">In connection with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filed by the Company today with the US Securities and Exchange Commission pursuant to the Securities Act, you have asked us to furnish our opinion as to the legality of the securities being registered under the Registration Statement. The Registration Statement relates to the registration by the Company under the Securities Act of the Plan Shares (as defined below) each authorized for issuance pursuant to and in accordance with the terms contained in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966" w:hanging="539"/>
        <w:spacing w:after="0"/>
        <w:tabs>
          <w:tab w:leader="none" w:pos="9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Equity Incentive Plan with Non-Employee Sub-Plan adopted by the Company on 8 April 2026 (the </w:t>
      </w:r>
      <w:r>
        <w:rPr>
          <w:rFonts w:ascii="Times New Roman" w:cs="Times New Roman" w:eastAsia="Times New Roman" w:hAnsi="Times New Roman"/>
          <w:sz w:val="18"/>
          <w:szCs w:val="18"/>
          <w:b w:val="1"/>
          <w:bCs w:val="1"/>
          <w:color w:val="auto"/>
        </w:rPr>
        <w:t>2026 Plan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6" w:right="120" w:hanging="539"/>
        <w:spacing w:after="0" w:line="277" w:lineRule="auto"/>
        <w:tabs>
          <w:tab w:leader="none" w:pos="9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Replacement Award Deed dated 8 May 2026 made between the Company and the Award Holders (as defined therein) in respect of the grant of certain Replacement Awards thereunder (the </w:t>
      </w:r>
      <w:r>
        <w:rPr>
          <w:rFonts w:ascii="Times New Roman" w:cs="Times New Roman" w:eastAsia="Times New Roman" w:hAnsi="Times New Roman"/>
          <w:sz w:val="18"/>
          <w:szCs w:val="18"/>
          <w:b w:val="1"/>
          <w:bCs w:val="1"/>
          <w:color w:val="auto"/>
        </w:rPr>
        <w:t>Replacement Award Deed</w:t>
      </w:r>
      <w:r>
        <w:rPr>
          <w:rFonts w:ascii="Times New Roman" w:cs="Times New Roman" w:eastAsia="Times New Roman" w:hAnsi="Times New Roman"/>
          <w:sz w:val="18"/>
          <w:szCs w:val="18"/>
          <w:color w:val="auto"/>
        </w:rPr>
        <w:t>); and</w:t>
      </w:r>
    </w:p>
    <w:p>
      <w:pPr>
        <w:spacing w:after="0" w:line="69" w:lineRule="exact"/>
        <w:rPr>
          <w:rFonts w:ascii="Times New Roman" w:cs="Times New Roman" w:eastAsia="Times New Roman" w:hAnsi="Times New Roman"/>
          <w:sz w:val="18"/>
          <w:szCs w:val="18"/>
          <w:color w:val="auto"/>
        </w:rPr>
      </w:pPr>
    </w:p>
    <w:p>
      <w:pPr>
        <w:ind w:left="966" w:right="140" w:hanging="539"/>
        <w:spacing w:after="0" w:line="277" w:lineRule="auto"/>
        <w:tabs>
          <w:tab w:leader="none" w:pos="96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Replacement Option Certificate dated 8 May 2026 made between the Company and the Option Holders (as defined therein) in respect of the grant of certain Replacement Options thereunder (the </w:t>
      </w:r>
      <w:r>
        <w:rPr>
          <w:rFonts w:ascii="Times New Roman" w:cs="Times New Roman" w:eastAsia="Times New Roman" w:hAnsi="Times New Roman"/>
          <w:sz w:val="18"/>
          <w:szCs w:val="18"/>
          <w:b w:val="1"/>
          <w:bCs w:val="1"/>
          <w:color w:val="auto"/>
        </w:rPr>
        <w:t>Replacement Option Certificate</w:t>
      </w:r>
      <w:r>
        <w:rPr>
          <w:rFonts w:ascii="Times New Roman" w:cs="Times New Roman" w:eastAsia="Times New Roman" w:hAnsi="Times New Roman"/>
          <w:sz w:val="18"/>
          <w:szCs w:val="18"/>
          <w:color w:val="auto"/>
        </w:rPr>
        <w:t>).</w:t>
      </w:r>
    </w:p>
    <w:p>
      <w:pPr>
        <w:spacing w:after="0" w:line="186" w:lineRule="exact"/>
        <w:rPr>
          <w:sz w:val="20"/>
          <w:szCs w:val="20"/>
          <w:color w:val="auto"/>
        </w:rPr>
      </w:pPr>
    </w:p>
    <w:tbl>
      <w:tblPr>
        <w:tblLayout w:type="fixed"/>
        <w:tblInd w:w="6" w:type="dxa"/>
        <w:tblCellMar>
          <w:top w:w="0" w:type="dxa"/>
          <w:left w:w="0" w:type="dxa"/>
          <w:bottom w:w="0" w:type="dxa"/>
          <w:right w:w="0" w:type="dxa"/>
        </w:tblCellMar>
      </w:tblPr>
      <w:tr>
        <w:trPr>
          <w:trHeight w:val="218"/>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Ogier (Jersey) LLP</w:t>
            </w:r>
          </w:p>
        </w:tc>
        <w:tc>
          <w:tcPr>
            <w:tcW w:w="26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2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44 Esplanade</w:t>
            </w:r>
          </w:p>
        </w:tc>
        <w:tc>
          <w:tcPr>
            <w:tcW w:w="2680" w:type="dxa"/>
            <w:vAlign w:val="bottom"/>
            <w:vMerge w:val="continue"/>
          </w:tcPr>
          <w:p>
            <w:pPr>
              <w:spacing w:after="0"/>
              <w:rPr>
                <w:sz w:val="18"/>
                <w:szCs w:val="18"/>
                <w:color w:val="auto"/>
              </w:rPr>
            </w:pPr>
          </w:p>
        </w:tc>
        <w:tc>
          <w:tcPr>
            <w:tcW w:w="28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St Helier</w:t>
            </w:r>
          </w:p>
        </w:tc>
        <w:tc>
          <w:tcPr>
            <w:tcW w:w="2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Raulin Amy</w:t>
            </w:r>
          </w:p>
        </w:tc>
        <w:tc>
          <w:tcPr>
            <w:tcW w:w="2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Jonathan Hughes</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7"/>
              </w:rPr>
              <w:t>Alexandra O’Grady</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Jersey JE4 9WG</w:t>
            </w:r>
          </w:p>
        </w:tc>
        <w:tc>
          <w:tcPr>
            <w:tcW w:w="2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James Angus</w:t>
            </w:r>
          </w:p>
        </w:tc>
        <w:tc>
          <w:tcPr>
            <w:tcW w:w="2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Richard Laignel</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Oliver Passmore</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2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James Campbell</w:t>
            </w:r>
          </w:p>
        </w:tc>
        <w:tc>
          <w:tcPr>
            <w:tcW w:w="2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Niamh Lalor</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Nathan Powell</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 +44 1534 514000</w:t>
            </w:r>
          </w:p>
        </w:tc>
        <w:tc>
          <w:tcPr>
            <w:tcW w:w="2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Richard Daggett</w:t>
            </w:r>
          </w:p>
        </w:tc>
        <w:tc>
          <w:tcPr>
            <w:tcW w:w="2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Kate McCaffrey</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Sophie Reguengo</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 +44 1534 514444</w:t>
            </w:r>
          </w:p>
        </w:tc>
        <w:tc>
          <w:tcPr>
            <w:tcW w:w="2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Simon Dinning</w:t>
            </w:r>
          </w:p>
        </w:tc>
        <w:tc>
          <w:tcPr>
            <w:tcW w:w="2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Edward Mackereth</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Oliver Richardson</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2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Damian Evans</w:t>
            </w:r>
          </w:p>
        </w:tc>
        <w:tc>
          <w:tcPr>
            <w:tcW w:w="2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Bruce MacNeil</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Bruce Scott</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2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Michael Evans</w:t>
            </w:r>
          </w:p>
        </w:tc>
        <w:tc>
          <w:tcPr>
            <w:tcW w:w="2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Katharine Marshall</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Henry Wickham</w:t>
            </w:r>
          </w:p>
        </w:tc>
        <w:tc>
          <w:tcPr>
            <w:tcW w:w="0" w:type="dxa"/>
            <w:vAlign w:val="bottom"/>
          </w:tcPr>
          <w:p>
            <w:pPr>
              <w:spacing w:after="0"/>
              <w:rPr>
                <w:sz w:val="1"/>
                <w:szCs w:val="1"/>
                <w:color w:val="auto"/>
              </w:rPr>
            </w:pPr>
          </w:p>
        </w:tc>
      </w:tr>
      <w:tr>
        <w:trPr>
          <w:trHeight w:val="214"/>
        </w:trPr>
        <w:tc>
          <w:tcPr>
            <w:tcW w:w="2220" w:type="dxa"/>
            <w:vAlign w:val="bottom"/>
          </w:tcPr>
          <w:p>
            <w:pPr>
              <w:spacing w:after="0"/>
              <w:rPr>
                <w:sz w:val="18"/>
                <w:szCs w:val="18"/>
                <w:color w:val="auto"/>
              </w:rPr>
            </w:pPr>
          </w:p>
        </w:tc>
        <w:tc>
          <w:tcPr>
            <w:tcW w:w="2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James Fox</w:t>
            </w:r>
          </w:p>
        </w:tc>
        <w:tc>
          <w:tcPr>
            <w:tcW w:w="2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Matt McManus</w:t>
            </w:r>
          </w:p>
        </w:tc>
        <w:tc>
          <w:tcPr>
            <w:tcW w:w="2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Nicholas Williams</w:t>
            </w:r>
          </w:p>
        </w:tc>
        <w:tc>
          <w:tcPr>
            <w:tcW w:w="0" w:type="dxa"/>
            <w:vAlign w:val="bottom"/>
          </w:tcPr>
          <w:p>
            <w:pPr>
              <w:spacing w:after="0"/>
              <w:rPr>
                <w:sz w:val="1"/>
                <w:szCs w:val="1"/>
                <w:color w:val="auto"/>
              </w:rPr>
            </w:pPr>
          </w:p>
        </w:tc>
      </w:tr>
      <w:tr>
        <w:trPr>
          <w:trHeight w:val="227"/>
        </w:trPr>
        <w:tc>
          <w:tcPr>
            <w:tcW w:w="2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ogier.com</w:t>
            </w:r>
          </w:p>
        </w:tc>
        <w:tc>
          <w:tcPr>
            <w:tcW w:w="2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Amy Garrod</w:t>
            </w:r>
          </w:p>
        </w:tc>
        <w:tc>
          <w:tcPr>
            <w:tcW w:w="2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Rebecca McNulty</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220" w:type="dxa"/>
            <w:vAlign w:val="bottom"/>
            <w:vMerge w:val="continue"/>
          </w:tcPr>
          <w:p>
            <w:pPr>
              <w:spacing w:after="0"/>
              <w:rPr>
                <w:sz w:val="20"/>
                <w:szCs w:val="20"/>
                <w:color w:val="auto"/>
              </w:rPr>
            </w:pPr>
          </w:p>
        </w:tc>
        <w:tc>
          <w:tcPr>
            <w:tcW w:w="26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Josephine Howe</w:t>
            </w:r>
          </w:p>
        </w:tc>
        <w:tc>
          <w:tcPr>
            <w:tcW w:w="2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Steven Meiklejohn</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Registered as a limited liability partnership in Jersey. Registered number 99.</w:t>
      </w:r>
    </w:p>
    <w:p>
      <w:pPr>
        <w:sectPr>
          <w:pgSz w:w="11900" w:h="16838" w:orient="portrait"/>
          <w:cols w:equalWidth="0" w:num="1">
            <w:col w:w="10906"/>
          </w:cols>
          <w:pgMar w:left="494" w:top="117" w:right="499" w:bottom="1440" w:gutter="0" w:footer="0" w:header="0"/>
          <w:type w:val="continuous"/>
        </w:sectPr>
      </w:pPr>
    </w:p>
    <w:bookmarkStart w:id="8" w:name="page9"/>
    <w:bookmarkEnd w:id="8"/>
    <w:p>
      <w:pPr>
        <w:ind w:left="420" w:right="80" w:hanging="427"/>
        <w:spacing w:after="0" w:line="255"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1.2</w:t>
        <w:tab/>
        <w:t xml:space="preserve">The Options, SARs, Restricted Share Awards, Performance Awards, and Other Awards subject to and as defined in the 2026 Plan, and the Replacement Awards subject to and as defined in the Replacement Award Deed, and Replacement Options subject to and as defined in the Replacement Option Certificate being collectively referred to herein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Under the relevant Plan (as defined in the Replacement Award Deed) or the 2026 Plan (each an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xml:space="preserve"> and together the </w:t>
      </w:r>
      <w:r>
        <w:rPr>
          <w:rFonts w:ascii="Times New Roman" w:cs="Times New Roman" w:eastAsia="Times New Roman" w:hAnsi="Times New Roman"/>
          <w:sz w:val="18"/>
          <w:szCs w:val="18"/>
          <w:b w:val="1"/>
          <w:bCs w:val="1"/>
          <w:color w:val="auto"/>
        </w:rPr>
        <w:t>EIPs</w:t>
      </w:r>
      <w:r>
        <w:rPr>
          <w:rFonts w:ascii="Times New Roman" w:cs="Times New Roman" w:eastAsia="Times New Roman" w:hAnsi="Times New Roman"/>
          <w:sz w:val="18"/>
          <w:szCs w:val="18"/>
          <w:color w:val="auto"/>
        </w:rPr>
        <w:t>) the Company has granted and may from time to time grant Securities relating to the Plan Shares.</w:t>
      </w:r>
    </w:p>
    <w:p>
      <w:pPr>
        <w:spacing w:after="0" w:line="8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In this opinion:</w:t>
      </w:r>
    </w:p>
    <w:p>
      <w:pPr>
        <w:spacing w:after="0" w:line="123" w:lineRule="exact"/>
        <w:rPr>
          <w:sz w:val="20"/>
          <w:szCs w:val="20"/>
          <w:color w:val="auto"/>
        </w:rPr>
      </w:pPr>
    </w:p>
    <w:p>
      <w:pPr>
        <w:ind w:left="960" w:right="20" w:hanging="539"/>
        <w:spacing w:after="0" w:line="265"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non-assessable </w:t>
      </w:r>
      <w:r>
        <w:rPr>
          <w:rFonts w:ascii="Times New Roman" w:cs="Times New Roman" w:eastAsia="Times New Roman" w:hAnsi="Times New Roman"/>
          <w:sz w:val="18"/>
          <w:szCs w:val="18"/>
          <w:color w:val="auto"/>
        </w:rPr>
        <w:t>means, in relation to any Plan Shares, that the consideration for which the Company agreed to issue those Plans Shares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paid in full to the Company, so that no further sum is payable to the Company by any holder of those Plan Shares in respect of the purchase price of those Plan Shares; and</w:t>
      </w:r>
    </w:p>
    <w:p>
      <w:pPr>
        <w:spacing w:after="0" w:line="75"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 Shares </w:t>
      </w:r>
      <w:r>
        <w:rPr>
          <w:rFonts w:ascii="Times New Roman" w:cs="Times New Roman" w:eastAsia="Times New Roman" w:hAnsi="Times New Roman"/>
          <w:sz w:val="18"/>
          <w:szCs w:val="18"/>
          <w:color w:val="auto"/>
        </w:rPr>
        <w:t>means:</w:t>
      </w:r>
    </w:p>
    <w:p>
      <w:pPr>
        <w:spacing w:after="0" w:line="130" w:lineRule="exact"/>
        <w:rPr>
          <w:rFonts w:ascii="Times New Roman" w:cs="Times New Roman" w:eastAsia="Times New Roman" w:hAnsi="Times New Roman"/>
          <w:sz w:val="18"/>
          <w:szCs w:val="18"/>
          <w:color w:val="auto"/>
        </w:rPr>
      </w:pPr>
    </w:p>
    <w:p>
      <w:pPr>
        <w:ind w:left="1400" w:right="220" w:hanging="431"/>
        <w:spacing w:after="0" w:line="277" w:lineRule="auto"/>
        <w:tabs>
          <w:tab w:leader="none" w:pos="14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Replacement Options and the Replacement Awards, an aggregate maximum amount of up to up to 64,626,561 A ordinary shares of $0.01 each in the capital of the Company; and</w:t>
      </w:r>
    </w:p>
    <w:p>
      <w:pPr>
        <w:spacing w:after="0" w:line="69" w:lineRule="exact"/>
        <w:rPr>
          <w:rFonts w:ascii="Times New Roman" w:cs="Times New Roman" w:eastAsia="Times New Roman" w:hAnsi="Times New Roman"/>
          <w:sz w:val="18"/>
          <w:szCs w:val="18"/>
          <w:color w:val="auto"/>
        </w:rPr>
      </w:pPr>
    </w:p>
    <w:p>
      <w:pPr>
        <w:ind w:left="1400" w:hanging="431"/>
        <w:spacing w:after="0"/>
        <w:tabs>
          <w:tab w:leader="none" w:pos="14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Options, SARs, Restricted Share Awards, Performance Awards, and Other Awards:</w:t>
      </w:r>
    </w:p>
    <w:p>
      <w:pPr>
        <w:spacing w:after="0" w:line="126" w:lineRule="exact"/>
        <w:rPr>
          <w:rFonts w:ascii="Times New Roman" w:cs="Times New Roman" w:eastAsia="Times New Roman" w:hAnsi="Times New Roman"/>
          <w:sz w:val="18"/>
          <w:szCs w:val="18"/>
          <w:color w:val="auto"/>
        </w:rPr>
      </w:pPr>
    </w:p>
    <w:p>
      <w:pPr>
        <w:ind w:left="1940" w:right="340" w:hanging="530"/>
        <w:spacing w:after="0" w:line="277" w:lineRule="auto"/>
        <w:tabs>
          <w:tab w:leader="none" w:pos="19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commencing on 8 April 2026 and ending on (and including)31 December 2026, an aggregate maximum amount of up to 102,567,200 A ordinary shares of $0.01 each in the capital of the Company (the </w:t>
      </w:r>
      <w:r>
        <w:rPr>
          <w:rFonts w:ascii="Times New Roman" w:cs="Times New Roman" w:eastAsia="Times New Roman" w:hAnsi="Times New Roman"/>
          <w:sz w:val="18"/>
          <w:szCs w:val="18"/>
          <w:b w:val="1"/>
          <w:bCs w:val="1"/>
          <w:color w:val="auto"/>
        </w:rPr>
        <w:t>Initial Reserve</w:t>
      </w:r>
      <w:r>
        <w:rPr>
          <w:rFonts w:ascii="Times New Roman" w:cs="Times New Roman" w:eastAsia="Times New Roman" w:hAnsi="Times New Roman"/>
          <w:sz w:val="18"/>
          <w:szCs w:val="18"/>
          <w:color w:val="auto"/>
        </w:rPr>
        <w:t>); and</w:t>
      </w:r>
    </w:p>
    <w:p>
      <w:pPr>
        <w:spacing w:after="0" w:line="69" w:lineRule="exact"/>
        <w:rPr>
          <w:rFonts w:ascii="Times New Roman" w:cs="Times New Roman" w:eastAsia="Times New Roman" w:hAnsi="Times New Roman"/>
          <w:sz w:val="18"/>
          <w:szCs w:val="18"/>
          <w:color w:val="auto"/>
        </w:rPr>
      </w:pPr>
    </w:p>
    <w:p>
      <w:pPr>
        <w:ind w:left="1940" w:hanging="530"/>
        <w:spacing w:after="0" w:line="255" w:lineRule="auto"/>
        <w:tabs>
          <w:tab w:leader="none" w:pos="194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1 January 2027 and ending on (and including)1 January 2036, the Initial Reserve will automatically increase annually on 1 January by an amount equal to 10% of the total number of all issued shares in the capital of the Company as at the preceding 31 December, unless the board of directors of the Company determines prior to 1 January of a given year to provide that the increase for such year will be a lesser number of A ordinary shares of $0.01 each in the capital of the Company,</w:t>
      </w:r>
    </w:p>
    <w:p>
      <w:pPr>
        <w:spacing w:after="0" w:line="76" w:lineRule="exact"/>
        <w:rPr>
          <w:sz w:val="20"/>
          <w:szCs w:val="20"/>
          <w:color w:val="auto"/>
        </w:rPr>
      </w:pPr>
    </w:p>
    <w:p>
      <w:pPr>
        <w:ind w:left="980" w:right="580"/>
        <w:spacing w:after="0" w:line="277" w:lineRule="auto"/>
        <w:rPr>
          <w:sz w:val="20"/>
          <w:szCs w:val="20"/>
          <w:color w:val="auto"/>
        </w:rPr>
      </w:pPr>
      <w:r>
        <w:rPr>
          <w:rFonts w:ascii="Times New Roman" w:cs="Times New Roman" w:eastAsia="Times New Roman" w:hAnsi="Times New Roman"/>
          <w:sz w:val="18"/>
          <w:szCs w:val="18"/>
          <w:color w:val="auto"/>
        </w:rPr>
        <w:t>pursuant to the memorandum of association of the Company in force as at the date hereof, an aggregate maximum amount of up to 620,888,326 A ordinary shares of $0.01 each in the capital of the Company.</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8" w:right="539" w:bottom="1440" w:gutter="0" w:footer="0" w:header="0"/>
        </w:sectPr>
      </w:pPr>
    </w:p>
    <w:bookmarkStart w:id="9" w:name="page10"/>
    <w:bookmarkEnd w:id="9"/>
    <w:p>
      <w:pPr>
        <w:ind w:left="426" w:hanging="426"/>
        <w:spacing w:after="0"/>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Documents examined</w:t>
      </w:r>
    </w:p>
    <w:p>
      <w:pPr>
        <w:spacing w:after="0" w:line="131" w:lineRule="exact"/>
        <w:rPr>
          <w:sz w:val="20"/>
          <w:szCs w:val="20"/>
          <w:color w:val="auto"/>
        </w:rPr>
      </w:pPr>
    </w:p>
    <w:p>
      <w:pPr>
        <w:ind w:left="426" w:right="440" w:hanging="427"/>
        <w:spacing w:after="0" w:line="277" w:lineRule="auto"/>
        <w:tabs>
          <w:tab w:leader="none" w:pos="406" w:val="left"/>
        </w:tabs>
        <w:rPr>
          <w:sz w:val="20"/>
          <w:szCs w:val="20"/>
          <w:color w:val="auto"/>
        </w:rPr>
      </w:pPr>
      <w:r>
        <w:rPr>
          <w:rFonts w:ascii="Times New Roman" w:cs="Times New Roman" w:eastAsia="Times New Roman" w:hAnsi="Times New Roman"/>
          <w:sz w:val="18"/>
          <w:szCs w:val="18"/>
          <w:color w:val="auto"/>
        </w:rPr>
        <w:t>2.1</w:t>
        <w:tab/>
        <w:t>For the purposes of giving this opinion, we have examined and relied upon such documents as we deem appropriate, including the following documents:</w:t>
      </w:r>
    </w:p>
    <w:p>
      <w:pPr>
        <w:spacing w:after="0" w:line="70" w:lineRule="exact"/>
        <w:rPr>
          <w:sz w:val="20"/>
          <w:szCs w:val="20"/>
          <w:color w:val="auto"/>
        </w:rPr>
      </w:pPr>
    </w:p>
    <w:p>
      <w:pPr>
        <w:ind w:left="966" w:hanging="539"/>
        <w:spacing w:after="0"/>
        <w:tabs>
          <w:tab w:leader="none" w:pos="9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22"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memorandum and articles of association of the Company in force as at the date hereof (the </w:t>
      </w:r>
      <w:r>
        <w:rPr>
          <w:rFonts w:ascii="Times New Roman" w:cs="Times New Roman" w:eastAsia="Times New Roman" w:hAnsi="Times New Roman"/>
          <w:sz w:val="18"/>
          <w:szCs w:val="18"/>
          <w:b w:val="1"/>
          <w:bCs w:val="1"/>
          <w:color w:val="auto"/>
        </w:rPr>
        <w:t>M&amp;A</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Plans (as defined in the Replacement Award Deed);</w:t>
      </w:r>
    </w:p>
    <w:p>
      <w:pPr>
        <w:spacing w:after="0" w:line="126" w:lineRule="exact"/>
        <w:rPr>
          <w:rFonts w:ascii="Times New Roman" w:cs="Times New Roman" w:eastAsia="Times New Roman" w:hAnsi="Times New Roman"/>
          <w:sz w:val="18"/>
          <w:szCs w:val="18"/>
          <w:color w:val="auto"/>
        </w:rPr>
      </w:pPr>
    </w:p>
    <w:p>
      <w:pPr>
        <w:ind w:left="966" w:right="480" w:hanging="539"/>
        <w:spacing w:after="0" w:line="277" w:lineRule="auto"/>
        <w:tabs>
          <w:tab w:leader="none" w:pos="9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a meeting of the board of directors of the Company held on 8 April 2026, which include (without limitation) the directors approving and/or ratifying the Documents and the preparation and filing of the Registration Statement;</w:t>
      </w:r>
    </w:p>
    <w:p>
      <w:pPr>
        <w:spacing w:after="0" w:line="6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w:t>
      </w:r>
    </w:p>
    <w:p>
      <w:pPr>
        <w:spacing w:after="0" w:line="122" w:lineRule="exact"/>
        <w:rPr>
          <w:rFonts w:ascii="Times New Roman" w:cs="Times New Roman" w:eastAsia="Times New Roman" w:hAnsi="Times New Roman"/>
          <w:sz w:val="18"/>
          <w:szCs w:val="18"/>
          <w:color w:val="auto"/>
        </w:rPr>
      </w:pPr>
    </w:p>
    <w:p>
      <w:pPr>
        <w:ind w:left="966" w:hanging="539"/>
        <w:spacing w:after="0" w:line="282" w:lineRule="auto"/>
        <w:tabs>
          <w:tab w:leader="none" w:pos="9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consent to issue shares dated 17 June 2025 issued to the Company by the Jersey Financial Services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Control of Borrowing (Jersey) Order 1958, as amended (</w:t>
      </w:r>
      <w:r>
        <w:rPr>
          <w:rFonts w:ascii="Times New Roman" w:cs="Times New Roman" w:eastAsia="Times New Roman" w:hAnsi="Times New Roman"/>
          <w:sz w:val="18"/>
          <w:szCs w:val="18"/>
          <w:b w:val="1"/>
          <w:bCs w:val="1"/>
          <w:color w:val="auto"/>
        </w:rPr>
        <w:t>COBO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Article 2 Consent</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966" w:right="180" w:hanging="539"/>
        <w:spacing w:after="0" w:line="277" w:lineRule="auto"/>
        <w:tabs>
          <w:tab w:leader="none" w:pos="9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consent to issue share options pursuant to the Documents dated 29 April 2026 issued to the Company by the Commission under COBO (the </w:t>
      </w:r>
      <w:r>
        <w:rPr>
          <w:rFonts w:ascii="Times New Roman" w:cs="Times New Roman" w:eastAsia="Times New Roman" w:hAnsi="Times New Roman"/>
          <w:sz w:val="18"/>
          <w:szCs w:val="18"/>
          <w:b w:val="1"/>
          <w:bCs w:val="1"/>
          <w:color w:val="auto"/>
        </w:rPr>
        <w:t>Article 4 Consent</w:t>
      </w:r>
      <w:r>
        <w:rPr>
          <w:rFonts w:ascii="Times New Roman" w:cs="Times New Roman" w:eastAsia="Times New Roman" w:hAnsi="Times New Roman"/>
          <w:sz w:val="18"/>
          <w:szCs w:val="18"/>
          <w:color w:val="auto"/>
        </w:rPr>
        <w:t xml:space="preserve"> and together with the Article 2 Consent, the </w:t>
      </w:r>
      <w:r>
        <w:rPr>
          <w:rFonts w:ascii="Times New Roman" w:cs="Times New Roman" w:eastAsia="Times New Roman" w:hAnsi="Times New Roman"/>
          <w:sz w:val="18"/>
          <w:szCs w:val="18"/>
          <w:b w:val="1"/>
          <w:bCs w:val="1"/>
          <w:color w:val="auto"/>
        </w:rPr>
        <w:t>COBO Consents</w:t>
      </w:r>
      <w:r>
        <w:rPr>
          <w:rFonts w:ascii="Times New Roman" w:cs="Times New Roman" w:eastAsia="Times New Roman" w:hAnsi="Times New Roman"/>
          <w:sz w:val="18"/>
          <w:szCs w:val="18"/>
          <w:color w:val="auto"/>
        </w:rPr>
        <w:t>); and</w:t>
      </w:r>
    </w:p>
    <w:p>
      <w:pPr>
        <w:spacing w:after="0" w:line="69" w:lineRule="exact"/>
        <w:rPr>
          <w:rFonts w:ascii="Times New Roman" w:cs="Times New Roman" w:eastAsia="Times New Roman" w:hAnsi="Times New Roman"/>
          <w:sz w:val="18"/>
          <w:szCs w:val="18"/>
          <w:color w:val="auto"/>
        </w:rPr>
      </w:pPr>
    </w:p>
    <w:p>
      <w:pPr>
        <w:ind w:left="966" w:right="840" w:hanging="539"/>
        <w:spacing w:after="0" w:line="277" w:lineRule="auto"/>
        <w:tabs>
          <w:tab w:leader="none" w:pos="9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consent to circulate a UK prospectus dated 10 April 2026 (effective on and from 13 April 2026) issued to the Company by the Commission under the Companies (General Provisions) (Jersey) Order 2002, as amended (the </w:t>
      </w:r>
      <w:r>
        <w:rPr>
          <w:rFonts w:ascii="Times New Roman" w:cs="Times New Roman" w:eastAsia="Times New Roman" w:hAnsi="Times New Roman"/>
          <w:sz w:val="18"/>
          <w:szCs w:val="18"/>
          <w:b w:val="1"/>
          <w:bCs w:val="1"/>
          <w:color w:val="auto"/>
        </w:rPr>
        <w:t>GPO Consent</w:t>
      </w:r>
      <w:r>
        <w:rPr>
          <w:rFonts w:ascii="Times New Roman" w:cs="Times New Roman" w:eastAsia="Times New Roman" w:hAnsi="Times New Roman"/>
          <w:sz w:val="18"/>
          <w:szCs w:val="18"/>
          <w:color w:val="auto"/>
        </w:rPr>
        <w:t>).</w:t>
      </w:r>
    </w:p>
    <w:p>
      <w:pPr>
        <w:spacing w:after="0" w:line="70" w:lineRule="exact"/>
        <w:rPr>
          <w:sz w:val="20"/>
          <w:szCs w:val="20"/>
          <w:color w:val="auto"/>
        </w:rPr>
      </w:pPr>
    </w:p>
    <w:p>
      <w:pPr>
        <w:ind w:left="426" w:right="260" w:hanging="427"/>
        <w:spacing w:after="0" w:line="277" w:lineRule="auto"/>
        <w:tabs>
          <w:tab w:leader="none" w:pos="406" w:val="left"/>
        </w:tabs>
        <w:rPr>
          <w:sz w:val="20"/>
          <w:szCs w:val="20"/>
          <w:color w:val="auto"/>
        </w:rPr>
      </w:pPr>
      <w:r>
        <w:rPr>
          <w:rFonts w:ascii="Times New Roman" w:cs="Times New Roman" w:eastAsia="Times New Roman" w:hAnsi="Times New Roman"/>
          <w:sz w:val="18"/>
          <w:szCs w:val="18"/>
          <w:color w:val="auto"/>
        </w:rPr>
        <w:t>2.2</w:t>
        <w:tab/>
        <w:t>For the purposes of this opinion, we have, with the consent of the Company, relied upon certificates and other assurances of directors and other officers of the Company as to matters of fact, without having independently verified such factual matters.</w:t>
      </w:r>
    </w:p>
    <w:p>
      <w:pPr>
        <w:spacing w:after="0" w:line="70"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For the purposes of this opinion, we have not:</w:t>
      </w:r>
    </w:p>
    <w:p>
      <w:pPr>
        <w:spacing w:after="0" w:line="247" w:lineRule="exact"/>
        <w:rPr>
          <w:sz w:val="20"/>
          <w:szCs w:val="20"/>
          <w:color w:val="auto"/>
        </w:rPr>
      </w:pPr>
    </w:p>
    <w:p>
      <w:pPr>
        <w:ind w:left="966" w:right="40" w:hanging="539"/>
        <w:spacing w:after="0" w:line="277" w:lineRule="auto"/>
        <w:tabs>
          <w:tab w:leader="none" w:pos="9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examined any other document relating to the EIPs or the Securities (including, without limitation, any document incorporated by reference in, or otherwise referred to in, the Documents, Plans, and/or Registration Statement); and</w:t>
      </w:r>
    </w:p>
    <w:p>
      <w:pPr>
        <w:spacing w:after="0" w:line="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6"/>
          </w:cols>
          <w:pgMar w:left="494" w:top="264" w:right="519" w:bottom="1440" w:gutter="0" w:footer="0" w:header="0"/>
        </w:sectPr>
      </w:pPr>
    </w:p>
    <w:bookmarkStart w:id="10" w:name="page11"/>
    <w:bookmarkEnd w:id="10"/>
    <w:p>
      <w:pPr>
        <w:ind w:left="966" w:right="60" w:hanging="539"/>
        <w:spacing w:after="0" w:line="277" w:lineRule="auto"/>
        <w:tabs>
          <w:tab w:leader="none" w:pos="9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undertaken any exercise that is not described in this opinion and, in particular, we have not conducted any searches or enquiries in relation to the Company at any public office or registry in Jersey.</w:t>
      </w:r>
    </w:p>
    <w:p>
      <w:pPr>
        <w:spacing w:after="0" w:line="306" w:lineRule="exact"/>
        <w:rPr>
          <w:sz w:val="20"/>
          <w:szCs w:val="20"/>
          <w:color w:val="auto"/>
        </w:rPr>
      </w:pPr>
    </w:p>
    <w:p>
      <w:pPr>
        <w:ind w:left="426" w:hanging="426"/>
        <w:spacing w:after="0"/>
        <w:tabs>
          <w:tab w:leader="none" w:pos="4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Assumptions</w:t>
      </w:r>
    </w:p>
    <w:p>
      <w:pPr>
        <w:spacing w:after="0" w:line="224" w:lineRule="exact"/>
        <w:rPr>
          <w:rFonts w:ascii="Times New Roman" w:cs="Times New Roman" w:eastAsia="Times New Roman" w:hAnsi="Times New Roman"/>
          <w:sz w:val="18"/>
          <w:szCs w:val="18"/>
          <w:color w:val="auto"/>
        </w:rPr>
      </w:pPr>
    </w:p>
    <w:p>
      <w:pPr>
        <w:ind w:left="4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opinion, we have assumed:</w:t>
      </w:r>
    </w:p>
    <w:p>
      <w:pPr>
        <w:spacing w:after="0" w:line="126" w:lineRule="exact"/>
        <w:rPr>
          <w:rFonts w:ascii="Times New Roman" w:cs="Times New Roman" w:eastAsia="Times New Roman" w:hAnsi="Times New Roman"/>
          <w:sz w:val="18"/>
          <w:szCs w:val="18"/>
          <w:color w:val="auto"/>
        </w:rPr>
      </w:pPr>
    </w:p>
    <w:p>
      <w:pPr>
        <w:ind w:left="966" w:right="20" w:hanging="539"/>
        <w:spacing w:after="0" w:line="277" w:lineRule="auto"/>
        <w:tabs>
          <w:tab w:leader="none" w:pos="9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Plans have been properly adopted and duly authorised by Wise plc and that each EIP has been, and will at all times be, (i) operated in accordance with its rules and (ii) legal, valid, binding and enforceable in accordance with its terms;</w:t>
      </w:r>
    </w:p>
    <w:p>
      <w:pPr>
        <w:spacing w:after="0" w:line="69" w:lineRule="exact"/>
        <w:rPr>
          <w:rFonts w:ascii="Times New Roman" w:cs="Times New Roman" w:eastAsia="Times New Roman" w:hAnsi="Times New Roman"/>
          <w:sz w:val="18"/>
          <w:szCs w:val="18"/>
          <w:color w:val="auto"/>
        </w:rPr>
      </w:pPr>
    </w:p>
    <w:p>
      <w:pPr>
        <w:ind w:left="966" w:hanging="539"/>
        <w:spacing w:after="0" w:line="262" w:lineRule="auto"/>
        <w:tabs>
          <w:tab w:leader="none" w:pos="9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existing or future Plan Shares to be issued or transferred under any EIPs have or will be duly authorised by the board of directors of the Company (or a duly authorised committee thereof or a duly authorised person or persons appointed by the board of directors as an administrator of the EIPs) and issued or transferred in accordance with the M&amp;A;</w:t>
      </w:r>
    </w:p>
    <w:p>
      <w:pPr>
        <w:spacing w:after="0" w:line="83" w:lineRule="exact"/>
        <w:rPr>
          <w:rFonts w:ascii="Times New Roman" w:cs="Times New Roman" w:eastAsia="Times New Roman" w:hAnsi="Times New Roman"/>
          <w:sz w:val="18"/>
          <w:szCs w:val="18"/>
          <w:color w:val="auto"/>
        </w:rPr>
      </w:pPr>
    </w:p>
    <w:p>
      <w:pPr>
        <w:ind w:left="966" w:hanging="539"/>
        <w:spacing w:after="0" w:line="277" w:lineRule="auto"/>
        <w:tabs>
          <w:tab w:leader="none" w:pos="9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accuracy, completeness and conformity to original documents of all copy documents, memoranda, extracts and certificates of officers of the Company examined by us;</w:t>
      </w:r>
    </w:p>
    <w:p>
      <w:pPr>
        <w:spacing w:after="0" w:line="6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signatures on all documents examined by us are the genuine signatures of persons authorised to execute or certify such documents;</w:t>
      </w:r>
    </w:p>
    <w:p>
      <w:pPr>
        <w:spacing w:after="0" w:line="138" w:lineRule="exact"/>
        <w:rPr>
          <w:rFonts w:ascii="Times New Roman" w:cs="Times New Roman" w:eastAsia="Times New Roman" w:hAnsi="Times New Roman"/>
          <w:sz w:val="17"/>
          <w:szCs w:val="17"/>
          <w:color w:val="auto"/>
        </w:rPr>
      </w:pPr>
    </w:p>
    <w:p>
      <w:pPr>
        <w:ind w:left="966" w:right="40" w:hanging="539"/>
        <w:spacing w:after="0" w:line="308" w:lineRule="auto"/>
        <w:tabs>
          <w:tab w:leader="none" w:pos="966"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and completeness in every respect of all certificates of directors or other officers of the Company given to us for the purposes of giving this Opinion and that (where relevant) such certificates would be accurate if they have been given as of the date hereof;</w:t>
      </w:r>
    </w:p>
    <w:p>
      <w:pPr>
        <w:spacing w:after="0" w:line="45" w:lineRule="exact"/>
        <w:rPr>
          <w:rFonts w:ascii="Times New Roman" w:cs="Times New Roman" w:eastAsia="Times New Roman" w:hAnsi="Times New Roman"/>
          <w:sz w:val="17"/>
          <w:szCs w:val="17"/>
          <w:color w:val="auto"/>
        </w:rPr>
      </w:pPr>
    </w:p>
    <w:p>
      <w:pPr>
        <w:ind w:left="966" w:right="80" w:hanging="539"/>
        <w:spacing w:after="0" w:line="277" w:lineRule="auto"/>
        <w:tabs>
          <w:tab w:leader="none" w:pos="9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approving the Company’s entry into the Documents and the transactions contemplated by them, the directors of the Company were acting in the best interests of the Company and for a proper purpose;</w:t>
      </w:r>
    </w:p>
    <w:p>
      <w:pPr>
        <w:spacing w:after="0" w:line="69" w:lineRule="exact"/>
        <w:rPr>
          <w:rFonts w:ascii="Times New Roman" w:cs="Times New Roman" w:eastAsia="Times New Roman" w:hAnsi="Times New Roman"/>
          <w:sz w:val="18"/>
          <w:szCs w:val="18"/>
          <w:color w:val="auto"/>
        </w:rPr>
      </w:pPr>
    </w:p>
    <w:p>
      <w:pPr>
        <w:ind w:left="966" w:right="220" w:hanging="539"/>
        <w:spacing w:after="0" w:line="277" w:lineRule="auto"/>
        <w:tabs>
          <w:tab w:leader="none" w:pos="9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words and phrases used in the Registration Statement have the same meaning and effect as they would if the Registration Statement were governed by Jersey law;</w:t>
      </w:r>
    </w:p>
    <w:p>
      <w:pPr>
        <w:spacing w:after="0" w:line="6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other event occurs after the date hereof which would affect the opinions herein stated;</w:t>
      </w:r>
    </w:p>
    <w:p>
      <w:pPr>
        <w:spacing w:after="0" w:line="15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6"/>
          </w:cols>
          <w:pgMar w:left="494" w:top="268" w:right="539" w:bottom="1440" w:gutter="0" w:footer="0" w:header="0"/>
        </w:sectPr>
      </w:pPr>
    </w:p>
    <w:bookmarkStart w:id="11" w:name="page12"/>
    <w:bookmarkEnd w:id="11"/>
    <w:p>
      <w:pPr>
        <w:ind w:left="966" w:right="400" w:hanging="539"/>
        <w:spacing w:after="0" w:line="277" w:lineRule="auto"/>
        <w:tabs>
          <w:tab w:leader="none" w:pos="9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that there is no provision of the law or regulation of any jurisdiction other than Jersey which would have any adverse implication in relation to the opinion expressed hereunder; and</w:t>
      </w:r>
    </w:p>
    <w:p>
      <w:pPr>
        <w:spacing w:after="0" w:line="69"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amendments made to the COBO Consents and GPO Consent.</w:t>
      </w:r>
    </w:p>
    <w:p>
      <w:pPr>
        <w:spacing w:after="0" w:line="363" w:lineRule="exact"/>
        <w:rPr>
          <w:sz w:val="20"/>
          <w:szCs w:val="20"/>
          <w:color w:val="auto"/>
        </w:rPr>
      </w:pPr>
    </w:p>
    <w:p>
      <w:pPr>
        <w:ind w:left="426" w:hanging="426"/>
        <w:spacing w:after="0"/>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w:t>
      </w:r>
    </w:p>
    <w:p>
      <w:pPr>
        <w:spacing w:after="0" w:line="117" w:lineRule="exact"/>
        <w:rPr>
          <w:rFonts w:ascii="Times New Roman" w:cs="Times New Roman" w:eastAsia="Times New Roman" w:hAnsi="Times New Roman"/>
          <w:sz w:val="18"/>
          <w:szCs w:val="18"/>
          <w:color w:val="auto"/>
        </w:rPr>
      </w:pPr>
    </w:p>
    <w:p>
      <w:pPr>
        <w:ind w:left="426"/>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matter of Jersey law, and on the basis of and subject to the foregoing and the qualifications below, we are of the opinion that, in relation to the Plan Shares to be allotted and issued, or transferred, to a participant under the relevant EIP in settlement of the that participant’s award, upon the:</w:t>
      </w:r>
    </w:p>
    <w:p>
      <w:pPr>
        <w:spacing w:after="0" w:line="83"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in full by the Company of all amounts payable by a relevant participant under an EIP in respect of that participant’s award;</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any relevant share transfer form in respect of any Plan Shares being transferred to a participant (if applicable); and</w:t>
      </w:r>
    </w:p>
    <w:p>
      <w:pPr>
        <w:spacing w:after="0" w:line="126" w:lineRule="exact"/>
        <w:rPr>
          <w:rFonts w:ascii="Times New Roman" w:cs="Times New Roman" w:eastAsia="Times New Roman" w:hAnsi="Times New Roman"/>
          <w:sz w:val="18"/>
          <w:szCs w:val="18"/>
          <w:color w:val="auto"/>
        </w:rPr>
      </w:pPr>
    </w:p>
    <w:p>
      <w:pPr>
        <w:ind w:left="966" w:hanging="539"/>
        <w:spacing w:after="0"/>
        <w:tabs>
          <w:tab w:leader="none" w:pos="96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the name of that participant as the holder of those Plan Shares in the register of members of the Company,</w:t>
      </w:r>
    </w:p>
    <w:p>
      <w:pPr>
        <w:spacing w:after="0" w:line="114" w:lineRule="exact"/>
        <w:rPr>
          <w:sz w:val="20"/>
          <w:szCs w:val="20"/>
          <w:color w:val="auto"/>
        </w:rPr>
      </w:pPr>
    </w:p>
    <w:p>
      <w:pPr>
        <w:ind w:left="426" w:right="100"/>
        <w:spacing w:after="0" w:line="277" w:lineRule="auto"/>
        <w:rPr>
          <w:sz w:val="20"/>
          <w:szCs w:val="20"/>
          <w:color w:val="auto"/>
        </w:rPr>
      </w:pPr>
      <w:r>
        <w:rPr>
          <w:rFonts w:ascii="Times New Roman" w:cs="Times New Roman" w:eastAsia="Times New Roman" w:hAnsi="Times New Roman"/>
          <w:sz w:val="18"/>
          <w:szCs w:val="18"/>
          <w:color w:val="auto"/>
        </w:rPr>
        <w:t>those Plan Shares will be validly issued, fully paid and non-assessable and, in respect of any transfer of Plan Shares in satisfaction of an award, validly transferred.</w:t>
      </w:r>
    </w:p>
    <w:p>
      <w:pPr>
        <w:spacing w:after="0" w:line="306" w:lineRule="exact"/>
        <w:rPr>
          <w:sz w:val="20"/>
          <w:szCs w:val="20"/>
          <w:color w:val="auto"/>
        </w:rPr>
      </w:pPr>
    </w:p>
    <w:p>
      <w:pPr>
        <w:ind w:left="426" w:hanging="426"/>
        <w:spacing w:after="0"/>
        <w:tabs>
          <w:tab w:leader="none" w:pos="4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Qualifications</w:t>
      </w:r>
    </w:p>
    <w:p>
      <w:pPr>
        <w:spacing w:after="0" w:line="117" w:lineRule="exact"/>
        <w:rPr>
          <w:rFonts w:ascii="Times New Roman" w:cs="Times New Roman" w:eastAsia="Times New Roman" w:hAnsi="Times New Roman"/>
          <w:sz w:val="18"/>
          <w:szCs w:val="18"/>
          <w:color w:val="auto"/>
        </w:rPr>
      </w:pPr>
    </w:p>
    <w:p>
      <w:pPr>
        <w:ind w:left="42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is subject to the following qualification:</w:t>
      </w:r>
    </w:p>
    <w:p>
      <w:pPr>
        <w:spacing w:after="0" w:line="126" w:lineRule="exact"/>
        <w:rPr>
          <w:rFonts w:ascii="Times New Roman" w:cs="Times New Roman" w:eastAsia="Times New Roman" w:hAnsi="Times New Roman"/>
          <w:sz w:val="18"/>
          <w:szCs w:val="18"/>
          <w:color w:val="auto"/>
        </w:rPr>
      </w:pPr>
    </w:p>
    <w:p>
      <w:pPr>
        <w:ind w:left="966" w:right="200" w:hanging="539"/>
        <w:spacing w:after="0" w:line="262" w:lineRule="auto"/>
        <w:tabs>
          <w:tab w:leader="none" w:pos="96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or in respect of, the Plan Shares will be subject to any law from time to time in force relating to bankruptcy, insolvency, liquidation, reorganisation or administration or any other law or legal procedure affecting generally the enforcement of creditors’ rights.</w:t>
      </w:r>
    </w:p>
    <w:p>
      <w:pPr>
        <w:spacing w:after="0" w:line="320" w:lineRule="exact"/>
        <w:rPr>
          <w:sz w:val="20"/>
          <w:szCs w:val="20"/>
          <w:color w:val="auto"/>
        </w:rPr>
      </w:pPr>
    </w:p>
    <w:p>
      <w:pPr>
        <w:ind w:left="426" w:hanging="426"/>
        <w:spacing w:after="0"/>
        <w:tabs>
          <w:tab w:leader="none" w:pos="4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Limitations, Benefit and Disclosure</w:t>
      </w:r>
    </w:p>
    <w:p>
      <w:pPr>
        <w:spacing w:after="0" w:line="131" w:lineRule="exact"/>
        <w:rPr>
          <w:sz w:val="20"/>
          <w:szCs w:val="20"/>
          <w:color w:val="auto"/>
        </w:rPr>
      </w:pPr>
    </w:p>
    <w:p>
      <w:pPr>
        <w:jc w:val="center"/>
        <w:ind w:right="354"/>
        <w:spacing w:after="0"/>
        <w:tabs>
          <w:tab w:leader="none" w:pos="1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This Opinion shall be governed by and construed in accordance with the laws of Jersey and is limited to the matters expressly stated herein.</w:t>
      </w:r>
    </w:p>
    <w:p>
      <w:pPr>
        <w:spacing w:after="0" w:line="154" w:lineRule="exact"/>
        <w:rPr>
          <w:sz w:val="20"/>
          <w:szCs w:val="20"/>
          <w:color w:val="auto"/>
        </w:rPr>
      </w:pPr>
    </w:p>
    <w:p>
      <w:pPr>
        <w:jc w:val="center"/>
        <w:ind w:right="-18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26"/>
          </w:cols>
          <w:pgMar w:left="494" w:top="268" w:right="679" w:bottom="1440" w:gutter="0" w:footer="0" w:header="0"/>
        </w:sectPr>
      </w:pPr>
    </w:p>
    <w:bookmarkStart w:id="12" w:name="page13"/>
    <w:bookmarkEnd w:id="12"/>
    <w:p>
      <w:pPr>
        <w:ind w:left="420" w:right="80" w:hanging="427"/>
        <w:spacing w:after="0" w:line="277" w:lineRule="auto"/>
        <w:tabs>
          <w:tab w:leader="none" w:pos="4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6.2</w:t>
        <w:tab/>
        <w:t>This Opinion is limited to matters of Jersey law and practice as at the date hereof and we have made no investigation and express no opinion with respect to the law or practice of any other jurisdiction.</w:t>
      </w:r>
    </w:p>
    <w:p>
      <w:pPr>
        <w:spacing w:after="0" w:line="70" w:lineRule="exact"/>
        <w:rPr>
          <w:sz w:val="20"/>
          <w:szCs w:val="20"/>
          <w:color w:val="auto"/>
        </w:rPr>
      </w:pPr>
    </w:p>
    <w:p>
      <w:pPr>
        <w:ind w:left="420" w:right="20" w:hanging="427"/>
        <w:spacing w:after="0" w:line="308" w:lineRule="auto"/>
        <w:tabs>
          <w:tab w:leader="none" w:pos="40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color w:val="auto"/>
        </w:rPr>
        <w:t>We assume no obligation to advise you (to any other person who may rely on this Opinion in accordance with this paragraph), or undertake any investigations, as to any legal developments or factual matters arising after the date of the Opinion that might affect the opinions expressed herein.</w:t>
      </w:r>
    </w:p>
    <w:p>
      <w:pPr>
        <w:spacing w:after="0" w:line="46" w:lineRule="exact"/>
        <w:rPr>
          <w:sz w:val="20"/>
          <w:szCs w:val="20"/>
          <w:color w:val="auto"/>
        </w:rPr>
      </w:pPr>
    </w:p>
    <w:p>
      <w:pPr>
        <w:jc w:val="both"/>
        <w:ind w:left="420" w:hanging="427"/>
        <w:spacing w:after="0" w:line="285" w:lineRule="auto"/>
        <w:tabs>
          <w:tab w:leader="none" w:pos="40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We consent to the filing of a copy of this opinion as Exhibit 5.1 to the Registration Statement and to reference to us being made in the Registration Statement. In giving this consent, we do not admit that we are included in the category of persons whose consent is required under Section 7 of the Securities Act or the rules and regulations promulgated by the US Securities and Exchange Commission under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Ogier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 (Jersey) LLP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8" w:right="5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Wise Group plc of our report dated December 5, 2025, except for the disaggregation of government bonds within the total available-for-sale debt securities disclosure discussed in Note 11 and the concentration of payment processors, partners, customers and brokers within the total accounts receivable disclosure discussed in Note 12 to the consolidated financial statements, as to which the date is February 12, 2026 relating to the financial statements of Wise plc, which appears in Wise Group plc’s Registration Statement on Form 20-F.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121" w:right="499" w:bottom="1440" w:gutter="0" w:footer="0" w:header="0"/>
        </w:sectPr>
      </w:pPr>
    </w:p>
    <w:bookmarkStart w:id="14" w:name="page15"/>
    <w:bookmarkEnd w:id="14"/>
    <w:p>
      <w:pPr>
        <w:ind w:left="2285"/>
        <w:spacing w:after="0"/>
        <w:rPr>
          <w:sz w:val="20"/>
          <w:szCs w:val="20"/>
          <w:color w:val="auto"/>
        </w:rPr>
      </w:pPr>
      <w:r>
        <w:rPr>
          <w:rFonts w:ascii="Arial" w:cs="Arial" w:eastAsia="Arial" w:hAnsi="Arial"/>
          <w:sz w:val="35"/>
          <w:szCs w:val="35"/>
          <w:b w:val="1"/>
          <w:bCs w:val="1"/>
          <w:color w:val="auto"/>
        </w:rPr>
        <w:t>Calculation of Filing Fee Tables</w:t>
      </w:r>
    </w:p>
    <w:p>
      <w:pPr>
        <w:spacing w:after="0" w:line="225" w:lineRule="exact"/>
        <w:rPr>
          <w:sz w:val="20"/>
          <w:szCs w:val="20"/>
          <w:color w:val="auto"/>
        </w:rPr>
      </w:pPr>
    </w:p>
    <w:p>
      <w:pPr>
        <w:ind w:left="4665"/>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55"/>
        <w:spacing w:after="0"/>
        <w:rPr>
          <w:sz w:val="20"/>
          <w:szCs w:val="20"/>
          <w:color w:val="auto"/>
        </w:rPr>
      </w:pPr>
      <w:r>
        <w:rPr>
          <w:rFonts w:ascii="Arial" w:cs="Arial" w:eastAsia="Arial" w:hAnsi="Arial"/>
          <w:sz w:val="36"/>
          <w:szCs w:val="36"/>
          <w:b w:val="1"/>
          <w:bCs w:val="1"/>
          <w:color w:val="auto"/>
        </w:rPr>
        <w:t>Wise Group plc</w:t>
      </w:r>
    </w:p>
    <w:p>
      <w:pPr>
        <w:spacing w:after="0" w:line="156" w:lineRule="exact"/>
        <w:rPr>
          <w:sz w:val="20"/>
          <w:szCs w:val="20"/>
          <w:color w:val="auto"/>
        </w:rPr>
      </w:pPr>
    </w:p>
    <w:p>
      <w:pPr>
        <w:jc w:val="center"/>
        <w:ind w:right="15"/>
        <w:spacing w:after="0"/>
        <w:rPr>
          <w:sz w:val="20"/>
          <w:szCs w:val="20"/>
          <w:color w:val="auto"/>
        </w:rPr>
      </w:pPr>
      <w:r>
        <w:rPr>
          <w:rFonts w:ascii="Arial" w:cs="Arial" w:eastAsia="Arial" w:hAnsi="Arial"/>
          <w:sz w:val="21"/>
          <w:szCs w:val="21"/>
          <w:b w:val="1"/>
          <w:bCs w:val="1"/>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40640</wp:posOffset>
            </wp:positionV>
            <wp:extent cx="6416675" cy="7790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6416675" cy="7790815"/>
                    </a:xfrm>
                    <a:prstGeom prst="rect">
                      <a:avLst/>
                    </a:prstGeom>
                    <a:noFill/>
                  </pic:spPr>
                </pic:pic>
              </a:graphicData>
            </a:graphic>
          </wp:anchor>
        </w:drawing>
      </w:r>
    </w:p>
    <w:p>
      <w:pPr>
        <w:sectPr>
          <w:pgSz w:w="11900" w:h="16838" w:orient="portrait"/>
          <w:cols w:equalWidth="0" w:num="1">
            <w:col w:w="10025"/>
          </w:cols>
          <w:pgMar w:left="935" w:top="142" w:right="939" w:bottom="0" w:gutter="0" w:footer="0" w:header="0"/>
        </w:sectPr>
      </w:pPr>
    </w:p>
    <w:p>
      <w:pPr>
        <w:spacing w:after="0" w:line="108" w:lineRule="exact"/>
        <w:rPr>
          <w:sz w:val="20"/>
          <w:szCs w:val="20"/>
          <w:color w:val="auto"/>
        </w:rPr>
      </w:pPr>
    </w:p>
    <w:tbl>
      <w:tblPr>
        <w:tblLayout w:type="fixed"/>
        <w:tblInd w:w="185" w:type="dxa"/>
        <w:tblCellMar>
          <w:top w:w="0" w:type="dxa"/>
          <w:left w:w="0" w:type="dxa"/>
          <w:bottom w:w="0" w:type="dxa"/>
          <w:right w:w="0" w:type="dxa"/>
        </w:tblCellMar>
      </w:tblPr>
      <w:tr>
        <w:trPr>
          <w:trHeight w:val="561"/>
        </w:trPr>
        <w:tc>
          <w:tcPr>
            <w:tcW w:w="9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r>
      <w:tr>
        <w:trPr>
          <w:trHeight w:val="240"/>
        </w:trPr>
        <w:tc>
          <w:tcPr>
            <w:tcW w:w="9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10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Registered</w:t>
            </w:r>
          </w:p>
        </w:tc>
      </w:tr>
      <w:tr>
        <w:trPr>
          <w:trHeight w:val="295"/>
        </w:trPr>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Title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4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r>
      <w:tr>
        <w:trPr>
          <w:trHeight w:val="132"/>
        </w:trPr>
        <w:tc>
          <w:tcPr>
            <w:tcW w:w="9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21"/>
                <w:szCs w:val="21"/>
                <w:color w:val="auto"/>
              </w:rPr>
            </w:pPr>
          </w:p>
        </w:tc>
        <w:tc>
          <w:tcPr>
            <w:tcW w:w="17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shd w:val="clear" w:color="auto" w:fill="9ADAF6"/>
          </w:tcPr>
          <w:p>
            <w:pPr>
              <w:spacing w:after="0"/>
              <w:rPr>
                <w:sz w:val="21"/>
                <w:szCs w:val="21"/>
                <w:color w:val="auto"/>
              </w:rPr>
            </w:pPr>
          </w:p>
        </w:tc>
      </w:tr>
      <w:tr>
        <w:trPr>
          <w:trHeight w:val="240"/>
        </w:trPr>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7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r>
      <w:tr>
        <w:trPr>
          <w:trHeight w:val="240"/>
        </w:trPr>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7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ind w:left="80"/>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r>
      <w:tr>
        <w:trPr>
          <w:trHeight w:val="240"/>
        </w:trPr>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0"/>
                <w:szCs w:val="20"/>
                <w:color w:val="auto"/>
              </w:rPr>
            </w:pPr>
          </w:p>
        </w:tc>
        <w:tc>
          <w:tcPr>
            <w:tcW w:w="17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r>
      <w:tr>
        <w:trPr>
          <w:trHeight w:val="282"/>
        </w:trPr>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7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shd w:val="clear" w:color="auto" w:fill="9ADAF6"/>
          </w:tcPr>
          <w:p>
            <w:pPr>
              <w:spacing w:after="0"/>
              <w:rPr>
                <w:sz w:val="24"/>
                <w:szCs w:val="24"/>
                <w:color w:val="auto"/>
              </w:rPr>
            </w:pPr>
          </w:p>
        </w:tc>
      </w:tr>
    </w:tbl>
    <w:p>
      <w:pPr>
        <w:spacing w:after="0" w:line="14" w:lineRule="exact"/>
        <w:rPr>
          <w:sz w:val="20"/>
          <w:szCs w:val="20"/>
          <w:color w:val="auto"/>
        </w:rPr>
      </w:pPr>
    </w:p>
    <w:p>
      <w:pPr>
        <w:sectPr>
          <w:pgSz w:w="11900" w:h="16838" w:orient="portrait"/>
          <w:cols w:equalWidth="0" w:num="2">
            <w:col w:w="4565" w:space="40"/>
            <w:col w:w="5420"/>
          </w:cols>
          <w:pgMar w:left="935" w:top="142" w:right="9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
        <w:spacing w:after="0"/>
        <w:rPr>
          <w:sz w:val="20"/>
          <w:szCs w:val="20"/>
          <w:color w:val="auto"/>
        </w:rPr>
      </w:pPr>
      <w:r>
        <w:rPr>
          <w:rFonts w:ascii="Arial" w:cs="Arial" w:eastAsia="Arial" w:hAnsi="Arial"/>
          <w:sz w:val="21"/>
          <w:szCs w:val="21"/>
          <w:color w:val="auto"/>
        </w:rPr>
        <w:t>1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
        <w:spacing w:after="0"/>
        <w:rPr>
          <w:sz w:val="20"/>
          <w:szCs w:val="20"/>
          <w:color w:val="auto"/>
        </w:rPr>
      </w:pPr>
      <w:r>
        <w:rPr>
          <w:rFonts w:ascii="Arial" w:cs="Arial" w:eastAsia="Arial" w:hAnsi="Arial"/>
          <w:sz w:val="21"/>
          <w:szCs w:val="21"/>
          <w:color w:val="auto"/>
        </w:rPr>
        <w:t>2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
        <w:spacing w:after="0"/>
        <w:rPr>
          <w:sz w:val="20"/>
          <w:szCs w:val="20"/>
          <w:color w:val="auto"/>
        </w:rPr>
      </w:pPr>
      <w:r>
        <w:rPr>
          <w:rFonts w:ascii="Arial" w:cs="Arial" w:eastAsia="Arial" w:hAnsi="Arial"/>
          <w:sz w:val="21"/>
          <w:szCs w:val="21"/>
          <w:color w:val="auto"/>
        </w:rPr>
        <w:t>3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
        <w:spacing w:after="0"/>
        <w:rPr>
          <w:sz w:val="20"/>
          <w:szCs w:val="20"/>
          <w:color w:val="auto"/>
        </w:rPr>
      </w:pPr>
      <w:r>
        <w:rPr>
          <w:rFonts w:ascii="Arial" w:cs="Arial" w:eastAsia="Arial" w:hAnsi="Arial"/>
          <w:sz w:val="21"/>
          <w:szCs w:val="21"/>
          <w:color w:val="auto"/>
        </w:rPr>
        <w:t>4 Equity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Class A</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ordinary</w:t>
      </w:r>
    </w:p>
    <w:p>
      <w:pPr>
        <w:spacing w:after="0" w:line="238" w:lineRule="auto"/>
        <w:rPr>
          <w:sz w:val="20"/>
          <w:szCs w:val="20"/>
          <w:color w:val="auto"/>
        </w:rPr>
      </w:pPr>
      <w:r>
        <w:rPr>
          <w:rFonts w:ascii="Arial" w:cs="Arial" w:eastAsia="Arial" w:hAnsi="Arial"/>
          <w:sz w:val="21"/>
          <w:szCs w:val="21"/>
          <w:color w:val="auto"/>
        </w:rPr>
        <w:t>shares,</w:t>
      </w:r>
    </w:p>
    <w:p>
      <w:pPr>
        <w:spacing w:after="0"/>
        <w:rPr>
          <w:sz w:val="20"/>
          <w:szCs w:val="20"/>
          <w:color w:val="auto"/>
        </w:rPr>
      </w:pPr>
      <w:r>
        <w:rPr>
          <w:rFonts w:ascii="Arial" w:cs="Arial" w:eastAsia="Arial" w:hAnsi="Arial"/>
          <w:sz w:val="21"/>
          <w:szCs w:val="21"/>
          <w:color w:val="auto"/>
        </w:rPr>
        <w:t>par value</w:t>
      </w:r>
    </w:p>
    <w:p>
      <w:pPr>
        <w:spacing w:after="0" w:line="238" w:lineRule="auto"/>
        <w:rPr>
          <w:sz w:val="20"/>
          <w:szCs w:val="20"/>
          <w:color w:val="auto"/>
        </w:rPr>
      </w:pPr>
      <w:r>
        <w:rPr>
          <w:rFonts w:ascii="Arial" w:cs="Arial" w:eastAsia="Arial" w:hAnsi="Arial"/>
          <w:sz w:val="21"/>
          <w:szCs w:val="21"/>
          <w:color w:val="auto"/>
        </w:rPr>
        <w:t>$0.01,</w:t>
      </w:r>
    </w:p>
    <w:p>
      <w:pPr>
        <w:spacing w:after="0"/>
        <w:rPr>
          <w:sz w:val="20"/>
          <w:szCs w:val="20"/>
          <w:color w:val="auto"/>
        </w:rPr>
      </w:pPr>
      <w:r>
        <w:rPr>
          <w:rFonts w:ascii="Arial" w:cs="Arial" w:eastAsia="Arial" w:hAnsi="Arial"/>
          <w:sz w:val="21"/>
          <w:szCs w:val="21"/>
          <w:color w:val="auto"/>
        </w:rPr>
        <w:t>2026</w:t>
      </w:r>
    </w:p>
    <w:p>
      <w:pPr>
        <w:spacing w:after="0" w:line="238" w:lineRule="auto"/>
        <w:rPr>
          <w:sz w:val="20"/>
          <w:szCs w:val="20"/>
          <w:color w:val="auto"/>
        </w:rPr>
      </w:pPr>
      <w:r>
        <w:rPr>
          <w:rFonts w:ascii="Arial" w:cs="Arial" w:eastAsia="Arial" w:hAnsi="Arial"/>
          <w:sz w:val="21"/>
          <w:szCs w:val="21"/>
          <w:color w:val="auto"/>
        </w:rPr>
        <w:t>Equity</w:t>
      </w:r>
    </w:p>
    <w:p>
      <w:pPr>
        <w:spacing w:after="0"/>
        <w:rPr>
          <w:sz w:val="20"/>
          <w:szCs w:val="20"/>
          <w:color w:val="auto"/>
        </w:rPr>
      </w:pPr>
      <w:r>
        <w:rPr>
          <w:rFonts w:ascii="Arial" w:cs="Arial" w:eastAsia="Arial" w:hAnsi="Arial"/>
          <w:sz w:val="21"/>
          <w:szCs w:val="21"/>
          <w:color w:val="auto"/>
        </w:rPr>
        <w:t>Incentive</w:t>
      </w:r>
    </w:p>
    <w:p>
      <w:pPr>
        <w:spacing w:after="0" w:line="238" w:lineRule="auto"/>
        <w:rPr>
          <w:sz w:val="20"/>
          <w:szCs w:val="20"/>
          <w:color w:val="auto"/>
        </w:rPr>
      </w:pPr>
      <w:r>
        <w:rPr>
          <w:rFonts w:ascii="Arial" w:cs="Arial" w:eastAsia="Arial" w:hAnsi="Arial"/>
          <w:sz w:val="21"/>
          <w:szCs w:val="21"/>
          <w:color w:val="auto"/>
        </w:rPr>
        <w:t>Plan with</w:t>
      </w:r>
    </w:p>
    <w:p>
      <w:pPr>
        <w:spacing w:after="0"/>
        <w:rPr>
          <w:sz w:val="20"/>
          <w:szCs w:val="20"/>
          <w:color w:val="auto"/>
        </w:rPr>
      </w:pPr>
      <w:r>
        <w:rPr>
          <w:rFonts w:ascii="Arial" w:cs="Arial" w:eastAsia="Arial" w:hAnsi="Arial"/>
          <w:sz w:val="21"/>
          <w:szCs w:val="21"/>
          <w:color w:val="auto"/>
        </w:rPr>
        <w:t>Non-</w:t>
      </w:r>
    </w:p>
    <w:p>
      <w:pPr>
        <w:spacing w:after="0" w:line="238" w:lineRule="auto"/>
        <w:rPr>
          <w:sz w:val="20"/>
          <w:szCs w:val="20"/>
          <w:color w:val="auto"/>
        </w:rPr>
      </w:pPr>
      <w:r>
        <w:rPr>
          <w:rFonts w:ascii="Arial" w:cs="Arial" w:eastAsia="Arial" w:hAnsi="Arial"/>
          <w:sz w:val="21"/>
          <w:szCs w:val="21"/>
          <w:color w:val="auto"/>
        </w:rPr>
        <w:t>Employee</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Sub-Plan</w:t>
      </w:r>
    </w:p>
    <w:p>
      <w:pPr>
        <w:spacing w:after="0" w:line="32"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Class A ordinary shares, par value $0.01, 2016 Share Option Plan</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20"/>
          <w:szCs w:val="20"/>
          <w:color w:val="auto"/>
        </w:rPr>
        <w:t>Class A ordinary shares, par value $0.01, Rules of the 2021 Equity Incentive Plan</w:t>
      </w:r>
    </w:p>
    <w:p>
      <w:pPr>
        <w:spacing w:after="0" w:line="5"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Class A ordinary shares, par value $0.01, Long Term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880" w:val="left"/>
        </w:tabs>
        <w:rPr>
          <w:sz w:val="20"/>
          <w:szCs w:val="20"/>
          <w:color w:val="auto"/>
        </w:rPr>
      </w:pPr>
      <w:r>
        <w:rPr>
          <w:rFonts w:ascii="Arial" w:cs="Arial" w:eastAsia="Arial" w:hAnsi="Arial"/>
          <w:sz w:val="21"/>
          <w:szCs w:val="21"/>
          <w:color w:val="auto"/>
        </w:rPr>
        <w:t>Other</w:t>
      </w:r>
      <w:r>
        <w:rPr>
          <w:sz w:val="20"/>
          <w:szCs w:val="20"/>
          <w:color w:val="auto"/>
        </w:rPr>
        <w:tab/>
      </w:r>
      <w:r>
        <w:rPr>
          <w:rFonts w:ascii="Arial" w:cs="Arial" w:eastAsia="Arial" w:hAnsi="Arial"/>
          <w:sz w:val="21"/>
          <w:szCs w:val="21"/>
          <w:color w:val="auto"/>
        </w:rPr>
        <w:t>102,567,200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color w:val="auto"/>
        </w:rPr>
        <w:t>Other</w:t>
      </w:r>
      <w:r>
        <w:rPr>
          <w:sz w:val="20"/>
          <w:szCs w:val="20"/>
          <w:color w:val="auto"/>
        </w:rPr>
        <w:tab/>
      </w:r>
      <w:r>
        <w:rPr>
          <w:rFonts w:ascii="Arial" w:cs="Arial" w:eastAsia="Arial" w:hAnsi="Arial"/>
          <w:sz w:val="20"/>
          <w:szCs w:val="20"/>
          <w:color w:val="auto"/>
        </w:rPr>
        <w:t>11,122,060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1120" w:val="left"/>
        </w:tabs>
        <w:rPr>
          <w:sz w:val="20"/>
          <w:szCs w:val="20"/>
          <w:color w:val="auto"/>
        </w:rPr>
      </w:pPr>
      <w:r>
        <w:rPr>
          <w:rFonts w:ascii="Arial" w:cs="Arial" w:eastAsia="Arial" w:hAnsi="Arial"/>
          <w:sz w:val="21"/>
          <w:szCs w:val="21"/>
          <w:color w:val="auto"/>
        </w:rPr>
        <w:t>Other</w:t>
      </w:r>
      <w:r>
        <w:rPr>
          <w:sz w:val="20"/>
          <w:szCs w:val="20"/>
          <w:color w:val="auto"/>
        </w:rPr>
        <w:tab/>
      </w:r>
      <w:r>
        <w:rPr>
          <w:rFonts w:ascii="Arial" w:cs="Arial" w:eastAsia="Arial" w:hAnsi="Arial"/>
          <w:sz w:val="21"/>
          <w:szCs w:val="21"/>
          <w:color w:val="auto"/>
        </w:rPr>
        <w:t>1,433,687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120" w:val="left"/>
        </w:tabs>
        <w:rPr>
          <w:sz w:val="20"/>
          <w:szCs w:val="20"/>
          <w:color w:val="auto"/>
        </w:rPr>
      </w:pPr>
      <w:r>
        <w:rPr>
          <w:rFonts w:ascii="Arial" w:cs="Arial" w:eastAsia="Arial" w:hAnsi="Arial"/>
          <w:sz w:val="21"/>
          <w:szCs w:val="21"/>
          <w:color w:val="auto"/>
        </w:rPr>
        <w:t>Other</w:t>
      </w:r>
      <w:r>
        <w:rPr>
          <w:sz w:val="20"/>
          <w:szCs w:val="20"/>
          <w:color w:val="auto"/>
        </w:rPr>
        <w:tab/>
      </w:r>
      <w:r>
        <w:rPr>
          <w:rFonts w:ascii="Arial" w:cs="Arial" w:eastAsia="Arial" w:hAnsi="Arial"/>
          <w:sz w:val="21"/>
          <w:szCs w:val="21"/>
          <w:color w:val="auto"/>
        </w:rPr>
        <w:t>3,932,343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3"/>
        </w:trPr>
        <w:tc>
          <w:tcPr>
            <w:tcW w:w="12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$ 14.47</w:t>
            </w:r>
          </w:p>
        </w:tc>
        <w:tc>
          <w:tcPr>
            <w:tcW w:w="20" w:type="dxa"/>
            <w:vAlign w:val="bottom"/>
          </w:tcPr>
          <w:p>
            <w:pPr>
              <w:spacing w:after="0"/>
              <w:rPr>
                <w:sz w:val="24"/>
                <w:szCs w:val="24"/>
                <w:color w:val="auto"/>
              </w:rPr>
            </w:pPr>
          </w:p>
        </w:tc>
        <w:tc>
          <w:tcPr>
            <w:tcW w:w="17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4"/>
                <w:szCs w:val="24"/>
                <w:color w:val="auto"/>
              </w:rPr>
            </w:pPr>
          </w:p>
        </w:tc>
        <w:tc>
          <w:tcPr>
            <w:tcW w:w="10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4"/>
                <w:szCs w:val="24"/>
                <w:color w:val="auto"/>
              </w:rPr>
            </w:pPr>
          </w:p>
        </w:tc>
        <w:tc>
          <w:tcPr>
            <w:tcW w:w="14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$ 204,960.75</w:t>
            </w:r>
          </w:p>
        </w:tc>
      </w:tr>
      <w:tr>
        <w:trPr>
          <w:trHeight w:val="281"/>
        </w:trPr>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1,484,147,384.00</w:t>
            </w: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shd w:val="clear" w:color="auto" w:fill="E7E7E2"/>
          </w:tcPr>
          <w:p>
            <w:pPr>
              <w:spacing w:after="0"/>
              <w:rPr>
                <w:sz w:val="24"/>
                <w:szCs w:val="24"/>
                <w:color w:val="auto"/>
              </w:rPr>
            </w:pPr>
          </w:p>
        </w:tc>
      </w:tr>
      <w:tr>
        <w:trPr>
          <w:trHeight w:val="1108"/>
        </w:trPr>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shd w:val="clear" w:color="auto" w:fill="E7E7E2"/>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60"/>
        <w:spacing w:after="0"/>
        <w:tabs>
          <w:tab w:leader="none" w:pos="4260" w:val="left"/>
        </w:tabs>
        <w:rPr>
          <w:sz w:val="20"/>
          <w:szCs w:val="20"/>
          <w:color w:val="auto"/>
        </w:rPr>
      </w:pPr>
      <w:r>
        <w:rPr>
          <w:rFonts w:ascii="Arial" w:cs="Arial" w:eastAsia="Arial" w:hAnsi="Arial"/>
          <w:sz w:val="21"/>
          <w:szCs w:val="21"/>
          <w:color w:val="auto"/>
        </w:rPr>
        <w:t>$ 14.47 $ 160,936,208.20 0.0001381</w:t>
        <w:tab/>
        <w:t>$ 22,225.29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0"/>
        <w:spacing w:after="0"/>
        <w:tabs>
          <w:tab w:leader="none" w:pos="1340" w:val="left"/>
          <w:tab w:leader="none" w:pos="4380" w:val="left"/>
        </w:tabs>
        <w:rPr>
          <w:sz w:val="20"/>
          <w:szCs w:val="20"/>
          <w:color w:val="auto"/>
        </w:rPr>
      </w:pPr>
      <w:r>
        <w:rPr>
          <w:rFonts w:ascii="Arial" w:cs="Arial" w:eastAsia="Arial" w:hAnsi="Arial"/>
          <w:sz w:val="21"/>
          <w:szCs w:val="21"/>
          <w:color w:val="auto"/>
        </w:rPr>
        <w:t>$ 14.47</w:t>
        <w:tab/>
        <w:t>$ 20,745,450.89 0.0001381</w:t>
      </w:r>
      <w:r>
        <w:rPr>
          <w:sz w:val="20"/>
          <w:szCs w:val="20"/>
          <w:color w:val="auto"/>
        </w:rPr>
        <w:tab/>
      </w:r>
      <w:r>
        <w:rPr>
          <w:rFonts w:ascii="Arial" w:cs="Arial" w:eastAsia="Arial" w:hAnsi="Arial"/>
          <w:sz w:val="21"/>
          <w:szCs w:val="21"/>
          <w:color w:val="auto"/>
        </w:rPr>
        <w:t>$ 2,864.95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60"/>
        <w:spacing w:after="0"/>
        <w:tabs>
          <w:tab w:leader="none" w:pos="1340" w:val="left"/>
          <w:tab w:leader="none" w:pos="4380" w:val="left"/>
        </w:tabs>
        <w:rPr>
          <w:sz w:val="20"/>
          <w:szCs w:val="20"/>
          <w:color w:val="auto"/>
        </w:rPr>
      </w:pPr>
      <w:r>
        <w:rPr>
          <w:rFonts w:ascii="Arial" w:cs="Arial" w:eastAsia="Arial" w:hAnsi="Arial"/>
          <w:sz w:val="21"/>
          <w:szCs w:val="21"/>
          <w:color w:val="auto"/>
        </w:rPr>
        <w:t>$ 14.47</w:t>
        <w:tab/>
        <w:t>$ 56,901,003.21 0.0001381</w:t>
      </w:r>
      <w:r>
        <w:rPr>
          <w:sz w:val="20"/>
          <w:szCs w:val="20"/>
          <w:color w:val="auto"/>
        </w:rPr>
        <w:tab/>
      </w:r>
      <w:r>
        <w:rPr>
          <w:rFonts w:ascii="Arial" w:cs="Arial" w:eastAsia="Arial" w:hAnsi="Arial"/>
          <w:sz w:val="21"/>
          <w:szCs w:val="21"/>
          <w:color w:val="auto"/>
        </w:rPr>
        <w:t>$ 7,858.03</w:t>
      </w:r>
    </w:p>
    <w:p>
      <w:pPr>
        <w:spacing w:after="0" w:line="1014" w:lineRule="exact"/>
        <w:rPr>
          <w:sz w:val="20"/>
          <w:szCs w:val="20"/>
          <w:color w:val="auto"/>
        </w:rPr>
      </w:pPr>
    </w:p>
    <w:p>
      <w:pPr>
        <w:sectPr>
          <w:pgSz w:w="11900" w:h="16838" w:orient="portrait"/>
          <w:cols w:equalWidth="0" w:num="4">
            <w:col w:w="785" w:space="360"/>
            <w:col w:w="940" w:space="380"/>
            <w:col w:w="2080" w:space="60"/>
            <w:col w:w="5420"/>
          </w:cols>
          <w:pgMar w:left="935" w:top="142" w:right="939" w:bottom="0" w:gutter="0" w:footer="0" w:header="0"/>
          <w:type w:val="continuous"/>
        </w:sectPr>
      </w:pPr>
    </w:p>
    <w:tbl>
      <w:tblPr>
        <w:tblLayout w:type="fixed"/>
        <w:tblInd w:w="2325" w:type="dxa"/>
        <w:tblCellMar>
          <w:top w:w="0" w:type="dxa"/>
          <w:left w:w="0" w:type="dxa"/>
          <w:bottom w:w="0" w:type="dxa"/>
          <w:right w:w="0" w:type="dxa"/>
        </w:tblCellMar>
      </w:tblPr>
      <w:tr>
        <w:trPr>
          <w:trHeight w:val="241"/>
        </w:trPr>
        <w:tc>
          <w:tcPr>
            <w:tcW w:w="2880" w:type="dxa"/>
            <w:vAlign w:val="bottom"/>
          </w:tcPr>
          <w:p>
            <w:pPr>
              <w:jc w:val="right"/>
              <w:ind w:right="553"/>
              <w:spacing w:after="0"/>
              <w:rPr>
                <w:sz w:val="20"/>
                <w:szCs w:val="20"/>
                <w:color w:val="auto"/>
              </w:rPr>
            </w:pPr>
            <w:r>
              <w:rPr>
                <w:rFonts w:ascii="Arial" w:cs="Arial" w:eastAsia="Arial" w:hAnsi="Arial"/>
                <w:sz w:val="21"/>
                <w:szCs w:val="21"/>
                <w:color w:val="auto"/>
                <w:w w:val="99"/>
              </w:rPr>
              <w:t>Total Offering Amounts:</w:t>
            </w:r>
          </w:p>
        </w:tc>
        <w:tc>
          <w:tcPr>
            <w:tcW w:w="2920" w:type="dxa"/>
            <w:vAlign w:val="bottom"/>
          </w:tcPr>
          <w:p>
            <w:pPr>
              <w:jc w:val="right"/>
              <w:ind w:right="513"/>
              <w:spacing w:after="0"/>
              <w:rPr>
                <w:sz w:val="20"/>
                <w:szCs w:val="20"/>
                <w:color w:val="auto"/>
              </w:rPr>
            </w:pPr>
            <w:r>
              <w:rPr>
                <w:rFonts w:ascii="Arial" w:cs="Arial" w:eastAsia="Arial" w:hAnsi="Arial"/>
                <w:sz w:val="21"/>
                <w:szCs w:val="21"/>
                <w:color w:val="auto"/>
              </w:rPr>
              <w:t>$</w:t>
            </w:r>
          </w:p>
        </w:tc>
        <w:tc>
          <w:tcPr>
            <w:tcW w:w="1880" w:type="dxa"/>
            <w:vAlign w:val="bottom"/>
          </w:tcPr>
          <w:p>
            <w:pPr>
              <w:jc w:val="right"/>
              <w:spacing w:after="0"/>
              <w:rPr>
                <w:sz w:val="20"/>
                <w:szCs w:val="20"/>
                <w:color w:val="auto"/>
              </w:rPr>
            </w:pPr>
            <w:r>
              <w:rPr>
                <w:rFonts w:ascii="Arial" w:cs="Arial" w:eastAsia="Arial" w:hAnsi="Arial"/>
                <w:sz w:val="21"/>
                <w:szCs w:val="21"/>
                <w:color w:val="auto"/>
              </w:rPr>
              <w:t>$ 237,909.02</w:t>
            </w:r>
          </w:p>
        </w:tc>
      </w:tr>
      <w:tr>
        <w:trPr>
          <w:trHeight w:val="281"/>
        </w:trPr>
        <w:tc>
          <w:tcPr>
            <w:tcW w:w="2880" w:type="dxa"/>
            <w:vAlign w:val="bottom"/>
          </w:tcPr>
          <w:p>
            <w:pPr>
              <w:spacing w:after="0"/>
              <w:rPr>
                <w:sz w:val="24"/>
                <w:szCs w:val="24"/>
                <w:color w:val="auto"/>
              </w:rPr>
            </w:pPr>
          </w:p>
        </w:tc>
        <w:tc>
          <w:tcPr>
            <w:tcW w:w="2920" w:type="dxa"/>
            <w:vAlign w:val="bottom"/>
          </w:tcPr>
          <w:p>
            <w:pPr>
              <w:jc w:val="right"/>
              <w:ind w:right="513"/>
              <w:spacing w:after="0"/>
              <w:rPr>
                <w:sz w:val="20"/>
                <w:szCs w:val="20"/>
                <w:color w:val="auto"/>
              </w:rPr>
            </w:pPr>
            <w:r>
              <w:rPr>
                <w:rFonts w:ascii="Arial" w:cs="Arial" w:eastAsia="Arial" w:hAnsi="Arial"/>
                <w:sz w:val="21"/>
                <w:szCs w:val="21"/>
                <w:color w:val="auto"/>
              </w:rPr>
              <w:t>1,722,730,046.30</w:t>
            </w:r>
          </w:p>
        </w:tc>
        <w:tc>
          <w:tcPr>
            <w:tcW w:w="1880" w:type="dxa"/>
            <w:vAlign w:val="bottom"/>
          </w:tcPr>
          <w:p>
            <w:pPr>
              <w:spacing w:after="0"/>
              <w:rPr>
                <w:sz w:val="24"/>
                <w:szCs w:val="24"/>
                <w:color w:val="auto"/>
              </w:rPr>
            </w:pPr>
          </w:p>
        </w:tc>
      </w:tr>
      <w:tr>
        <w:trPr>
          <w:trHeight w:val="294"/>
        </w:trPr>
        <w:tc>
          <w:tcPr>
            <w:tcW w:w="2880" w:type="dxa"/>
            <w:vAlign w:val="bottom"/>
          </w:tcPr>
          <w:p>
            <w:pPr>
              <w:jc w:val="right"/>
              <w:ind w:right="553"/>
              <w:spacing w:after="0"/>
              <w:rPr>
                <w:sz w:val="20"/>
                <w:szCs w:val="20"/>
                <w:color w:val="auto"/>
              </w:rPr>
            </w:pPr>
            <w:r>
              <w:rPr>
                <w:rFonts w:ascii="Arial" w:cs="Arial" w:eastAsia="Arial" w:hAnsi="Arial"/>
                <w:sz w:val="21"/>
                <w:szCs w:val="21"/>
                <w:color w:val="auto"/>
              </w:rPr>
              <w:t>Total Fee Offsets:</w:t>
            </w:r>
          </w:p>
        </w:tc>
        <w:tc>
          <w:tcPr>
            <w:tcW w:w="29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1"/>
                <w:szCs w:val="21"/>
                <w:color w:val="auto"/>
              </w:rPr>
              <w:t>$ 0.00</w:t>
            </w:r>
          </w:p>
        </w:tc>
      </w:tr>
      <w:tr>
        <w:trPr>
          <w:trHeight w:val="294"/>
        </w:trPr>
        <w:tc>
          <w:tcPr>
            <w:tcW w:w="2880" w:type="dxa"/>
            <w:vAlign w:val="bottom"/>
          </w:tcPr>
          <w:p>
            <w:pPr>
              <w:jc w:val="right"/>
              <w:ind w:right="553"/>
              <w:spacing w:after="0"/>
              <w:rPr>
                <w:sz w:val="20"/>
                <w:szCs w:val="20"/>
                <w:color w:val="auto"/>
              </w:rPr>
            </w:pPr>
            <w:r>
              <w:rPr>
                <w:rFonts w:ascii="Arial" w:cs="Arial" w:eastAsia="Arial" w:hAnsi="Arial"/>
                <w:sz w:val="21"/>
                <w:szCs w:val="21"/>
                <w:color w:val="auto"/>
              </w:rPr>
              <w:t>Net Fee Due:</w:t>
            </w:r>
          </w:p>
        </w:tc>
        <w:tc>
          <w:tcPr>
            <w:tcW w:w="29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1"/>
                <w:szCs w:val="21"/>
                <w:color w:val="auto"/>
              </w:rPr>
              <w:t>$ 237,909.02</w:t>
            </w:r>
          </w:p>
        </w:tc>
      </w:tr>
    </w:tbl>
    <w:p>
      <w:pPr>
        <w:spacing w:after="0" w:line="318" w:lineRule="exact"/>
        <w:rPr>
          <w:sz w:val="20"/>
          <w:szCs w:val="20"/>
          <w:color w:val="auto"/>
        </w:rPr>
      </w:pPr>
    </w:p>
    <w:p>
      <w:pPr>
        <w:ind w:left="5"/>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225" w:right="100" w:hanging="225"/>
        <w:spacing w:after="0" w:line="234" w:lineRule="auto"/>
        <w:tabs>
          <w:tab w:leader="none" w:pos="225" w:val="left"/>
        </w:tabs>
        <w:numPr>
          <w:ilvl w:val="0"/>
          <w:numId w:val="18"/>
        </w:numPr>
        <w:rPr>
          <w:rFonts w:ascii="Arial" w:cs="Arial" w:eastAsia="Arial" w:hAnsi="Arial"/>
          <w:sz w:val="27"/>
          <w:szCs w:val="27"/>
          <w:color w:val="auto"/>
          <w:vertAlign w:val="superscript"/>
        </w:rPr>
      </w:pPr>
      <w:r>
        <w:rPr>
          <w:rFonts w:ascii="Arial" w:cs="Arial" w:eastAsia="Arial" w:hAnsi="Arial"/>
          <w:sz w:val="21"/>
          <w:szCs w:val="21"/>
          <w:color w:val="auto"/>
        </w:rPr>
        <w:t>1.a. Pursuant to Rule 416(a) promulgated under the Securities Act of 1933, as amended (the "Securities Act"), this Registration Statement shall also cover any additional Class A ordinary shares, par value $0.01 ("Class A Ordinary Shares") of Wise Group plc (the "Registrant") that become issuable under the plans set forth herein by reason of any stock dividend, stock split, recapitalization, or other similar transaction effected that results in an increase to the number of outstanding Class A Ordinary Shares. 1.b. Represents Class A Ordinary Shares reserved for future issuance pursuant to awards</w:t>
      </w:r>
    </w:p>
    <w:p>
      <w:pPr>
        <w:sectPr>
          <w:pgSz w:w="11900" w:h="16838" w:orient="portrait"/>
          <w:cols w:equalWidth="0" w:num="1">
            <w:col w:w="10025"/>
          </w:cols>
          <w:pgMar w:left="935" w:top="142" w:right="939" w:bottom="0" w:gutter="0" w:footer="0" w:header="0"/>
          <w:type w:val="continuous"/>
        </w:sectPr>
      </w:pPr>
    </w:p>
    <w:bookmarkStart w:id="15" w:name="page16"/>
    <w:bookmarkEnd w:id="15"/>
    <w:p>
      <w:pPr>
        <w:spacing w:after="0" w:line="62" w:lineRule="exact"/>
        <w:rPr>
          <w:sz w:val="20"/>
          <w:szCs w:val="20"/>
          <w:color w:val="auto"/>
        </w:rPr>
      </w:pPr>
    </w:p>
    <w:p>
      <w:pPr>
        <w:ind w:left="840" w:right="700"/>
        <w:spacing w:after="0" w:line="242" w:lineRule="auto"/>
        <w:rPr>
          <w:sz w:val="20"/>
          <w:szCs w:val="20"/>
          <w:color w:val="auto"/>
        </w:rPr>
      </w:pPr>
      <w:r>
        <w:rPr>
          <w:rFonts w:ascii="Arial" w:cs="Arial" w:eastAsia="Arial" w:hAnsi="Arial"/>
          <w:sz w:val="21"/>
          <w:szCs w:val="21"/>
          <w:color w:val="auto"/>
        </w:rPr>
        <w:t>under the Registrant's 2026 Equity Incentive Plan with Non-Employee Sub-Plan (the "2026 Plan"). 1.c. The price per share and aggregate offering price are estimated solely for the purpose of calculating the registration fee pursuant to Rule 457(c) and Rule 457(h) under the Securities Act and are calculated based upon 10.62 Pounds, which is the average of the high and low prices per Class A ordinary share of Wise plc ("Wise"), the predecessor of the Registrant, on the London Stock Exchange on May 6, 2026, as converted into U.S. dollars at the exchange rate of $1.3621 to GBP1.0000 on May 1, 2026 as published by the Board of Governors of the Federal Reserve System. On May 8, 2026, Wise completed a court-sanctioned scheme of arrangement under Part 26 of the UK Companies Act 2006 (the "Scheme"), whereby each Class A ordinary share of Wise was cancelled in exchange for one Class A Ordinary Share of the Registrant, excluding certain shares held by certain sanctioned shareholders. As a result of the Scheme, on May 8, 2026, Wise became a wholly owned subsidiary of the Registrant, and on May 11, 2026, the Registrant's Class A Ordinary Shares were listed and commenced trading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81915</wp:posOffset>
            </wp:positionV>
            <wp:extent cx="63874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89" w:lineRule="exact"/>
        <w:rPr>
          <w:sz w:val="20"/>
          <w:szCs w:val="20"/>
          <w:color w:val="auto"/>
        </w:rPr>
      </w:pPr>
    </w:p>
    <w:p>
      <w:pPr>
        <w:ind w:left="840" w:right="760" w:hanging="225"/>
        <w:spacing w:after="0" w:line="236" w:lineRule="auto"/>
        <w:tabs>
          <w:tab w:leader="none" w:pos="840" w:val="left"/>
        </w:tabs>
        <w:numPr>
          <w:ilvl w:val="0"/>
          <w:numId w:val="19"/>
        </w:numPr>
        <w:rPr>
          <w:rFonts w:ascii="Arial" w:cs="Arial" w:eastAsia="Arial" w:hAnsi="Arial"/>
          <w:sz w:val="27"/>
          <w:szCs w:val="27"/>
          <w:color w:val="auto"/>
          <w:vertAlign w:val="superscript"/>
        </w:rPr>
      </w:pPr>
      <w:r>
        <w:rPr>
          <w:rFonts w:ascii="Arial" w:cs="Arial" w:eastAsia="Arial" w:hAnsi="Arial"/>
          <w:sz w:val="21"/>
          <w:szCs w:val="21"/>
          <w:color w:val="auto"/>
        </w:rPr>
        <w:t>See note 1.a. above. 2.a. Represents Class A Ordinary Shares issuable pursuant to stock options outstanding under the Registrant's TransferWise 2016 Share Option Plan (the "2016 Plan"). No additional Class A ordinary shares will be granted under the 2016 Plan. 2.b. The price per share and aggregate offering price are estimated solely for the purpose of calculating the registration fee pursuant to Rule 457(c) and Rule 457(h) under the Securities Act and are calculated based upon 10.62 Pounds, which is the average of the high and low prices per Class A ordinary share of Wise on the London Stock Exchange on May 6, 2026, as converted into U.S. dollars at the exchange rate of $1.3621 to GBP1.0000 on May 1, 2026 as published by the Board of Governors of the Federal Reserve System. On May 8, 2026, Wise completed the Scheme, whereby each Class A ordinary share of Wise was cancelled in exchange for one Class A Ordinary Share of the Registrant, excluding certain shares held by certain sanctioned shareholders. As a result of the Scheme, on May 8, 2026, Wise became a wholly owned subsidiary of the Registrant, and on May 11, 2026, the Registrant's Class A Ordinary Shares were listed and commenced trading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87630</wp:posOffset>
            </wp:positionV>
            <wp:extent cx="6387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98" w:lineRule="exact"/>
        <w:rPr>
          <w:sz w:val="20"/>
          <w:szCs w:val="20"/>
          <w:color w:val="auto"/>
        </w:rPr>
      </w:pPr>
    </w:p>
    <w:p>
      <w:pPr>
        <w:ind w:left="840" w:right="700" w:hanging="225"/>
        <w:spacing w:after="0" w:line="236" w:lineRule="auto"/>
        <w:tabs>
          <w:tab w:leader="none" w:pos="840" w:val="left"/>
        </w:tabs>
        <w:numPr>
          <w:ilvl w:val="0"/>
          <w:numId w:val="20"/>
        </w:numPr>
        <w:rPr>
          <w:rFonts w:ascii="Arial" w:cs="Arial" w:eastAsia="Arial" w:hAnsi="Arial"/>
          <w:sz w:val="27"/>
          <w:szCs w:val="27"/>
          <w:color w:val="auto"/>
          <w:vertAlign w:val="superscript"/>
        </w:rPr>
      </w:pPr>
      <w:r>
        <w:rPr>
          <w:rFonts w:ascii="Arial" w:cs="Arial" w:eastAsia="Arial" w:hAnsi="Arial"/>
          <w:sz w:val="21"/>
          <w:szCs w:val="21"/>
          <w:color w:val="auto"/>
        </w:rPr>
        <w:t>See note 1.a. above. 3.a. Represents Class A Ordinary Shares issuable pursuant to awards outstanding under the Registrant's TransferWise 2021 Equity Incentive Plan (the "2021 Plan"). No additional Class A ordinary shares will be granted under the 2021 Plan. 3.b. The price per share and aggregate offering price are estimated solely for the purpose of calculating the registration fee pursuant to Rule 457(c) and Rule 457(h) under the Securities Act and are calculated based upon 10.62 Pounds, which is the average of the high and low prices per Class A ordinary share of Wise on the London Stock Exchange on May 6, 2026, as converted into U.S. dollars at the exchange rate of $1.3621 to GBP1.0000 on May 1, 2026 as published by the Board of Governors of the Federal Reserve System. On May 8, 2026, Wise completed the Scheme, whereby each Class A ordinary share was cancelled in exchange for one Class A Ordinary Share of the Registrant, excluding certain shares held by certain sanctioned shareholders. As a result of the Scheme, on May 8, 2026, Wise became a wholly owned subsidiary of the Registrant, and on May 11, 2026, the Registrant's Class A Ordinary Shares were listed and commenced trading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87630</wp:posOffset>
            </wp:positionV>
            <wp:extent cx="63874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98" w:lineRule="exact"/>
        <w:rPr>
          <w:sz w:val="20"/>
          <w:szCs w:val="20"/>
          <w:color w:val="auto"/>
        </w:rPr>
      </w:pPr>
    </w:p>
    <w:p>
      <w:pPr>
        <w:ind w:left="840" w:right="700" w:hanging="225"/>
        <w:spacing w:after="0" w:line="236" w:lineRule="auto"/>
        <w:tabs>
          <w:tab w:leader="none" w:pos="840" w:val="left"/>
        </w:tabs>
        <w:numPr>
          <w:ilvl w:val="0"/>
          <w:numId w:val="21"/>
        </w:numPr>
        <w:rPr>
          <w:rFonts w:ascii="Arial" w:cs="Arial" w:eastAsia="Arial" w:hAnsi="Arial"/>
          <w:sz w:val="27"/>
          <w:szCs w:val="27"/>
          <w:color w:val="auto"/>
          <w:vertAlign w:val="superscript"/>
        </w:rPr>
      </w:pPr>
      <w:r>
        <w:rPr>
          <w:rFonts w:ascii="Arial" w:cs="Arial" w:eastAsia="Arial" w:hAnsi="Arial"/>
          <w:sz w:val="21"/>
          <w:szCs w:val="21"/>
          <w:color w:val="auto"/>
        </w:rPr>
        <w:t>See note 1.a. above. 4.a. Represents Class A ordinary shares issuable pursuant to awards outstanding under the Registrant's Long Term Incentive Plan (the "LTIP"). No additional Class A ordinary shares will be granted under the LTIP. 4.b. The price per share and aggregate offering price are estimated solely for the purpose of calculating the registration fee pursuant to Rule 457(c) and Rule 457(h) under the Securities Act and are calculated based upon 10.62 Pounds, which is the average of the high and low prices per Class A ordinary share of Wise on the London Stock Exchange on May 6, 2026, as converted into U.S. dollars at the exchange rate of $1.3621 to GBP1.0000 on May 1, 2026 as published by the Board of Governors of the Federal Reserve System. On May 8, 2026, Wise completed the Scheme, whereby each Class A ordinary share of Wise was cancelled in exchange for one Class A Ordinary Share of the Registrant, excluding certain shares held by certain sanctioned shareholders. As a result of the Scheme, on May 8, 2026, Wise became a wholly owned subsidiary of the Registrant, and on May 11, 2026, the Registrant's Class A Ordinary Shares were listed and commenced trading on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87630</wp:posOffset>
            </wp:positionV>
            <wp:extent cx="63874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376"/>
        </w:trPr>
        <w:tc>
          <w:tcPr>
            <w:tcW w:w="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10"/>
          </w:tcPr>
          <w:p>
            <w:pPr>
              <w:spacing w:after="0"/>
              <w:rPr>
                <w:sz w:val="20"/>
                <w:szCs w:val="20"/>
                <w:color w:val="auto"/>
              </w:rPr>
            </w:pPr>
            <w:r>
              <w:rPr>
                <w:rFonts w:ascii="Arial" w:cs="Arial" w:eastAsia="Arial" w:hAnsi="Arial"/>
                <w:sz w:val="21"/>
                <w:szCs w:val="21"/>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ind w:left="200"/>
              <w:spacing w:after="0" w:line="242" w:lineRule="exact"/>
              <w:rPr>
                <w:sz w:val="20"/>
                <w:szCs w:val="20"/>
                <w:color w:val="auto"/>
              </w:rPr>
            </w:pPr>
            <w:r>
              <w:rPr>
                <w:rFonts w:ascii="MS PGothic" w:cs="MS PGothic" w:eastAsia="MS PGothic" w:hAnsi="MS PGothic"/>
                <w:sz w:val="21"/>
                <w:szCs w:val="21"/>
                <w:color w:val="auto"/>
                <w:highlight w:val="black"/>
              </w:rPr>
              <w:t>☑</w:t>
            </w:r>
            <w:r>
              <w:rPr>
                <w:rFonts w:ascii="Arial" w:cs="Arial" w:eastAsia="Arial" w:hAnsi="Arial"/>
                <w:sz w:val="21"/>
                <w:szCs w:val="21"/>
                <w:b w:val="1"/>
                <w:bCs w:val="1"/>
                <w:color w:val="auto"/>
              </w:rPr>
              <w:t>Not Applicable</w:t>
            </w: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60" w:type="dxa"/>
            <w:vAlign w:val="bottom"/>
            <w:tcBorders>
              <w:right w:val="single" w:sz="8" w:color="9ADAF6"/>
            </w:tcBorders>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jc w:val="center"/>
              <w:spacing w:after="0" w:line="226"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Registrant</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60" w:type="dxa"/>
            <w:vAlign w:val="bottom"/>
            <w:tcBorders>
              <w:right w:val="single" w:sz="8" w:color="9ADAF6"/>
            </w:tcBorders>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40" w:type="dxa"/>
            <w:vAlign w:val="bottom"/>
          </w:tcPr>
          <w:p>
            <w:pPr>
              <w:spacing w:after="0"/>
              <w:rPr>
                <w:sz w:val="18"/>
                <w:szCs w:val="18"/>
                <w:color w:val="auto"/>
              </w:rPr>
            </w:pPr>
          </w:p>
        </w:tc>
        <w:tc>
          <w:tcPr>
            <w:tcW w:w="8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8"/>
                <w:szCs w:val="18"/>
                <w:color w:val="auto"/>
              </w:rPr>
            </w:pPr>
          </w:p>
        </w:tc>
        <w:tc>
          <w:tcPr>
            <w:tcW w:w="11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8"/>
                <w:szCs w:val="18"/>
                <w:color w:val="auto"/>
              </w:rPr>
            </w:pPr>
          </w:p>
        </w:tc>
        <w:tc>
          <w:tcPr>
            <w:tcW w:w="7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with</w:t>
            </w: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or Filer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20"/>
                <w:szCs w:val="20"/>
                <w:color w:val="auto"/>
              </w:rPr>
            </w:pPr>
          </w:p>
        </w:tc>
        <w:tc>
          <w:tcPr>
            <w:tcW w:w="8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40" w:type="dxa"/>
            <w:vAlign w:val="bottom"/>
          </w:tcPr>
          <w:p>
            <w:pPr>
              <w:spacing w:after="0"/>
              <w:rPr>
                <w:sz w:val="20"/>
                <w:szCs w:val="20"/>
                <w:color w:val="auto"/>
              </w:rPr>
            </w:pPr>
          </w:p>
        </w:tc>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Name</w:t>
            </w:r>
          </w:p>
        </w:tc>
        <w:tc>
          <w:tcPr>
            <w:tcW w:w="20" w:type="dxa"/>
            <w:vAlign w:val="bottom"/>
          </w:tcPr>
          <w:p>
            <w:pPr>
              <w:spacing w:after="0"/>
              <w:rPr>
                <w:sz w:val="20"/>
                <w:szCs w:val="2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Date</w:t>
            </w: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20"/>
                <w:szCs w:val="2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40" w:type="dxa"/>
            <w:vAlign w:val="bottom"/>
          </w:tcPr>
          <w:p>
            <w:pPr>
              <w:spacing w:after="0"/>
              <w:rPr>
                <w:sz w:val="20"/>
                <w:szCs w:val="2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8"/>
              </w:rPr>
              <w:t>Offset</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0" w:type="dxa"/>
            <w:vAlign w:val="bottom"/>
            <w:tcBorders>
              <w:left w:val="single" w:sz="8" w:color="auto"/>
            </w:tcBorders>
          </w:tcPr>
          <w:p>
            <w:pPr>
              <w:spacing w:after="0"/>
              <w:rPr>
                <w:sz w:val="2"/>
                <w:szCs w:val="2"/>
                <w:color w:val="auto"/>
              </w:rPr>
            </w:pPr>
          </w:p>
        </w:tc>
        <w:tc>
          <w:tcPr>
            <w:tcW w:w="820" w:type="dxa"/>
            <w:vAlign w:val="bottom"/>
            <w:shd w:val="clear" w:color="auto" w:fill="9ADAF6"/>
          </w:tcPr>
          <w:p>
            <w:pPr>
              <w:spacing w:after="0"/>
              <w:rPr>
                <w:sz w:val="2"/>
                <w:szCs w:val="2"/>
                <w:color w:val="auto"/>
              </w:rPr>
            </w:pPr>
          </w:p>
        </w:tc>
        <w:tc>
          <w:tcPr>
            <w:tcW w:w="60" w:type="dxa"/>
            <w:vAlign w:val="bottom"/>
            <w:tcBorders>
              <w:right w:val="single" w:sz="8" w:color="9ADAF6"/>
            </w:tcBorders>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vMerge w:val="continue"/>
            <w:shd w:val="clear" w:color="auto" w:fill="9ADAF6"/>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vMerge w:val="continue"/>
            <w:shd w:val="clear" w:color="auto" w:fill="9ADAF6"/>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vMerge w:val="continue"/>
            <w:shd w:val="clear" w:color="auto" w:fill="9ADAF6"/>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60" w:type="dxa"/>
            <w:vAlign w:val="bottom"/>
            <w:tcBorders>
              <w:right w:val="single" w:sz="8" w:color="9ADAF6"/>
            </w:tcBorders>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60" w:type="dxa"/>
            <w:vAlign w:val="bottom"/>
            <w:tcBorders>
              <w:right w:val="single" w:sz="8" w:color="9ADAF6"/>
            </w:tcBorders>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0" w:type="dxa"/>
            <w:vAlign w:val="bottom"/>
            <w:tcBorders>
              <w:lef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340"/>
          </w:cols>
          <w:pgMar w:left="320" w:top="112" w:right="239" w:bottom="0" w:gutter="0" w:footer="0" w:header="0"/>
        </w:sectPr>
      </w:pPr>
    </w:p>
    <w:bookmarkStart w:id="16" w:name="page17"/>
    <w:bookmarkEnd w:id="16"/>
    <w:p>
      <w:pPr>
        <w:jc w:val="right"/>
        <w:ind w:right="3879"/>
        <w:spacing w:after="0"/>
        <w:rPr>
          <w:sz w:val="20"/>
          <w:szCs w:val="20"/>
          <w:color w:val="auto"/>
        </w:rPr>
      </w:pPr>
      <w:r>
        <w:rPr>
          <w:rFonts w:ascii="Arial" w:cs="Arial" w:eastAsia="Arial" w:hAnsi="Arial"/>
          <w:sz w:val="21"/>
          <w:szCs w:val="21"/>
          <w:b w:val="1"/>
          <w:bCs w:val="1"/>
          <w:color w:val="auto"/>
        </w:rPr>
        <w:t>Rule 457(p)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-134620</wp:posOffset>
            </wp:positionV>
            <wp:extent cx="7198360" cy="1172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98360" cy="11728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Offset</w:t>
      </w:r>
    </w:p>
    <w:p>
      <w:pPr>
        <w:spacing w:after="0"/>
        <w:rPr>
          <w:sz w:val="20"/>
          <w:szCs w:val="20"/>
          <w:color w:val="auto"/>
        </w:rPr>
      </w:pPr>
      <w:r>
        <w:rPr>
          <w:rFonts w:ascii="Arial" w:cs="Arial" w:eastAsia="Arial" w:hAnsi="Arial"/>
          <w:sz w:val="21"/>
          <w:szCs w:val="21"/>
          <w:color w:val="auto"/>
        </w:rPr>
        <w:t>Sources</w:t>
      </w:r>
    </w:p>
    <w:sectPr>
      <w:pgSz w:w="11900" w:h="16838" w:orient="portrait"/>
      <w:cols w:equalWidth="0" w:num="1">
        <w:col w:w="10079"/>
      </w:cols>
      <w:pgMar w:left="38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lowerLetter"/>
      <w:start w:val="1"/>
    </w:lvl>
  </w:abstractNum>
  <w:abstractNum w:abstractNumId="1">
    <w:nsid w:val="1190CDE7"/>
    <w:multiLevelType w:val="hybridMultilevel"/>
    <w:lvl w:ilvl="0">
      <w:lvlJc w:val="left"/>
      <w:lvlText w:val="•"/>
      <w:numFmt w:val="bullet"/>
      <w:start w:val="1"/>
    </w:lvl>
    <w:lvl w:ilvl="1">
      <w:lvlJc w:val="left"/>
      <w:lvlText w:val="•"/>
      <w:numFmt w:val="bullet"/>
      <w:start w:val="1"/>
    </w:lvl>
  </w:abstractNum>
  <w:abstractNum w:abstractNumId="2">
    <w:nsid w:val="66EF438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140E0F76"/>
    <w:multiLevelType w:val="hybridMultilevel"/>
    <w:lvl w:ilvl="0">
      <w:lvlJc w:val="left"/>
      <w:lvlText w:val="%1"/>
      <w:numFmt w:val="lowerLetter"/>
      <w:start w:val="1"/>
    </w:lvl>
    <w:lvl w:ilvl="1">
      <w:lvlJc w:val="left"/>
      <w:lvlText w:val="(%2)"/>
      <w:numFmt w:val="decimal"/>
      <w:start w:val="2"/>
    </w:lvl>
  </w:abstractNum>
  <w:abstractNum w:abstractNumId="4">
    <w:nsid w:val="3352255A"/>
    <w:multiLevelType w:val="hybridMultilevel"/>
    <w:lvl w:ilvl="0">
      <w:lvlJc w:val="left"/>
      <w:lvlText w:val="(%1)"/>
      <w:numFmt w:val="lowerLetter"/>
      <w:start w:val="2"/>
    </w:lvl>
    <w:lvl w:ilvl="1">
      <w:lvlJc w:val="left"/>
      <w:lvlText w:val="%2"/>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Letter"/>
      <w:start w:val="1"/>
    </w:lvl>
  </w:abstractNum>
  <w:abstractNum w:abstractNumId="7">
    <w:nsid w:val="7FDCC2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
    <w:nsid w:val="1BEFD79F"/>
    <w:multiLevelType w:val="hybridMultilevel"/>
    <w:lvl w:ilvl="0">
      <w:lvlJc w:val="left"/>
      <w:lvlText w:val="2"/>
      <w:numFmt w:val="bullet"/>
      <w:start w:val="1"/>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2"/>
    </w:lvl>
  </w:abstractNum>
  <w:abstractNum w:abstractNumId="12">
    <w:nsid w:val="25E45D32"/>
    <w:multiLevelType w:val="hybridMultilevel"/>
    <w:lvl w:ilvl="0">
      <w:lvlJc w:val="left"/>
      <w:lvlText w:val="3"/>
      <w:numFmt w:val="bullet"/>
      <w:start w:val="1"/>
    </w:lvl>
    <w:lvl w:ilvl="1">
      <w:lvlJc w:val="left"/>
      <w:lvlText w:val="(%2)"/>
      <w:numFmt w:val="lowerLetter"/>
      <w:start w:val="1"/>
    </w:lvl>
  </w:abstractNum>
  <w:abstractNum w:abstractNumId="13">
    <w:nsid w:val="519B500D"/>
    <w:multiLevelType w:val="hybridMultilevel"/>
    <w:lvl w:ilvl="0">
      <w:lvlJc w:val="left"/>
      <w:lvlText w:val="(%1)"/>
      <w:numFmt w:val="lowerLetter"/>
      <w:start w:val="9"/>
    </w:lvl>
  </w:abstractNum>
  <w:abstractNum w:abstractNumId="14">
    <w:nsid w:val="431BD7B7"/>
    <w:multiLevelType w:val="hybridMultilevel"/>
    <w:lvl w:ilvl="0">
      <w:lvlJc w:val="left"/>
      <w:lvlText w:val="4"/>
      <w:numFmt w:val="bullet"/>
      <w:start w:val="1"/>
    </w:lvl>
    <w:lvl w:ilvl="1">
      <w:lvlJc w:val="left"/>
      <w:lvlText w:val="(%2)"/>
      <w:numFmt w:val="lowerLetter"/>
      <w:start w:val="1"/>
    </w:lvl>
  </w:abstractNum>
  <w:abstractNum w:abstractNumId="15">
    <w:nsid w:val="3F2DBA31"/>
    <w:multiLevelType w:val="hybridMultilevel"/>
    <w:lvl w:ilvl="0">
      <w:lvlJc w:val="left"/>
      <w:lvlText w:val="5"/>
      <w:numFmt w:val="bullet"/>
      <w:start w:val="1"/>
    </w:lvl>
    <w:lvl w:ilvl="1">
      <w:lvlJc w:val="left"/>
      <w:lvlText w:val="(%2)"/>
      <w:numFmt w:val="lowerLetter"/>
      <w:start w:val="1"/>
    </w:lvl>
  </w:abstractNum>
  <w:abstractNum w:abstractNumId="16">
    <w:nsid w:val="7C83E458"/>
    <w:multiLevelType w:val="hybridMultilevel"/>
    <w:lvl w:ilvl="0">
      <w:lvlJc w:val="left"/>
      <w:lvlText w:val="6"/>
      <w:numFmt w:val="bullet"/>
      <w:start w:val="1"/>
    </w:lvl>
  </w:abstractNum>
  <w:abstractNum w:abstractNumId="17">
    <w:nsid w:val="257130A3"/>
    <w:multiLevelType w:val="hybridMultilevel"/>
    <w:lvl w:ilvl="0">
      <w:lvlJc w:val="left"/>
      <w:lvlText w:val="1"/>
      <w:numFmt w:val="bullet"/>
      <w:start w:val="1"/>
    </w:lvl>
  </w:abstractNum>
  <w:abstractNum w:abstractNumId="18">
    <w:nsid w:val="62BBD95A"/>
    <w:multiLevelType w:val="hybridMultilevel"/>
    <w:lvl w:ilvl="0">
      <w:lvlJc w:val="left"/>
      <w:lvlText w:val="2"/>
      <w:numFmt w:val="bullet"/>
      <w:start w:val="1"/>
    </w:lvl>
  </w:abstractNum>
  <w:abstractNum w:abstractNumId="19">
    <w:nsid w:val="436C6125"/>
    <w:multiLevelType w:val="hybridMultilevel"/>
    <w:lvl w:ilvl="0">
      <w:lvlJc w:val="left"/>
      <w:lvlText w:val="3"/>
      <w:numFmt w:val="bullet"/>
      <w:start w:val="1"/>
    </w:lvl>
  </w:abstractNum>
  <w:abstractNum w:abstractNumId="20">
    <w:nsid w:val="628C895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jpe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18" Type="http://schemas.openxmlformats.org/officeDocument/2006/relationships/hyperlink" Target="http://www.sec.gov/Archives/edgar/data/2099039/000119312526160997/d19735d20fr12ba.htm" TargetMode="External"/><Relationship Id="rId20" Type="http://schemas.openxmlformats.org/officeDocument/2006/relationships/hyperlink" Target="http://www.sec.gov/Archives/edgar/data/2099039/000119312526151439/d19735dex11.htm" TargetMode="External"/><Relationship Id="rId21" Type="http://schemas.openxmlformats.org/officeDocument/2006/relationships/hyperlink" Target="http://www.sec.gov/Archives/edgar/data/2099039/000119312526151439/d19735dex43.htm" TargetMode="External"/><Relationship Id="rId22" Type="http://schemas.openxmlformats.org/officeDocument/2006/relationships/hyperlink" Target="http://www.sec.gov/Archives/edgar/data/2099039/000119312526151439/d19735dex44.htm" TargetMode="External"/><Relationship Id="rId23" Type="http://schemas.openxmlformats.org/officeDocument/2006/relationships/hyperlink" Target="http://www.sec.gov/Archives/edgar/data/2099039/000119312526151439/d19735dex45.htm" TargetMode="External"/><Relationship Id="rId24" Type="http://schemas.openxmlformats.org/officeDocument/2006/relationships/hyperlink" Target="http://www.sec.gov/Archives/edgar/data/2099039/000119312526151439/d19735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2026-05-11T07:13:46Z</dcterms:created>
  <dcterms:modified xsi:type="dcterms:W3CDTF">2026-05-11T07:13:46Z</dcterms:modified>
</cp:coreProperties>
</file>