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Kaarmann Kristo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Wise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WISE GROUP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1ST FLOOR WORSHIP SQ., 65</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CLIFTON STREET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EC2A 4JE</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186,078,489</w:t>
            </w:r>
          </w:p>
        </w:tc>
        <w:tc>
          <w:tcPr>
            <w:tcW w:w="80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779,766</w:t>
            </w:r>
          </w:p>
        </w:tc>
        <w:tc>
          <w:tcPr>
            <w:tcW w:w="800" w:type="dxa"/>
            <w:vAlign w:val="bottom"/>
          </w:tcPr>
          <w:p>
            <w:pPr>
              <w:spacing w:after="0"/>
              <w:rPr>
                <w:sz w:val="24"/>
                <w:szCs w:val="24"/>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89"/>
              </w:rPr>
              <w:t>I</w:t>
            </w:r>
          </w:p>
        </w:tc>
        <w:tc>
          <w:tcPr>
            <w:tcW w:w="186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0000FF"/>
              </w:rPr>
              <w:t>By Kotilda OU</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161,022,590</w:t>
            </w: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779,766</w:t>
            </w: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89"/>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By Kotilda OU</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60" w:type="dxa"/>
            <w:vAlign w:val="bottom"/>
            <w:gridSpan w:val="3"/>
            <w:vMerge w:val="restart"/>
          </w:tcPr>
          <w:p>
            <w:pPr>
              <w:ind w:left="2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gridSpan w:val="3"/>
          </w:tcPr>
          <w:p>
            <w:pPr>
              <w:ind w:left="2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0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Class B ordinary share corresponds to a Class A ordinary share and will be automatically cancelled upon the sale or other transfer of the corresponding Class A ordinary share or as otherwise provided in the Issuer's articles of association.</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Nameeta Pai,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Jane Fahey, Daniel Rados, David Fu and Nameeta Pai of Wise Group plc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Date: </w:t>
      </w:r>
      <w:r>
        <w:rPr>
          <w:rFonts w:ascii="Times New Roman" w:cs="Times New Roman" w:eastAsia="Times New Roman" w:hAnsi="Times New Roman"/>
          <w:sz w:val="24"/>
          <w:szCs w:val="24"/>
          <w:u w:val="single" w:color="auto"/>
          <w:color w:val="auto"/>
        </w:rPr>
        <w:t>17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Kristo Käärmann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Kristo Käärmann</w:t>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131392" TargetMode="External"/><Relationship Id="rId11" Type="http://schemas.openxmlformats.org/officeDocument/2006/relationships/hyperlink" Target="http://www.sec.gov/cgi-bin/browse-edgar?action=getcompany&amp;CIK=0002099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2026-05-08T16:55:52Z</dcterms:created>
  <dcterms:modified xsi:type="dcterms:W3CDTF">2026-05-08T16:55:52Z</dcterms:modified>
</cp:coreProperties>
</file>