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9575r.htm"/>
      <w:bookmarkStart w:id="1" w:name="ksa9575r"/>
      <w:bookmarkEnd w:id="0"/>
      <w:bookmarkEnd w:id="1"/>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25 August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5095" w:type="dxa"/>
        <w:jc w:val="left"/>
        <w:tblInd w:w="0" w:type="dxa"/>
        <w:tblLayout w:type="fixed"/>
        <w:tblCellMar>
          <w:top w:w="0" w:type="dxa"/>
          <w:left w:w="0" w:type="dxa"/>
          <w:bottom w:w="0" w:type="dxa"/>
          <w:right w:w="0" w:type="dxa"/>
        </w:tblCellMar>
      </w:tblPr>
      <w:tblGrid>
        <w:gridCol w:w="995"/>
        <w:gridCol w:w="4100"/>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tc>
        <w:tc>
          <w:tcPr>
            <w:tcW w:w="410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tc>
        <w:tc>
          <w:tcPr>
            <w:tcW w:w="4100"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25 August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Wise Group plc</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Group plc (the "Company") announces that from 17 August 2026 up to and including 21 August 2026 it repurchased a total of (i) 572,875 of its Class A ordinary shares on Nasdaq and/or other applicable US trading venues and (ii) 768,520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ind w:left="0" w:right="0" w:hanging="0"/>
        <w:jc w:val="left"/>
        <w:rPr>
          <w:color w:val="000000"/>
        </w:rPr>
      </w:pPr>
      <w:r>
        <w:rPr>
          <w:color w:val="000000"/>
        </w:rPr>
        <w:t> </w:t>
      </w:r>
    </w:p>
    <w:tbl>
      <w:tblPr>
        <w:tblW w:w="10205" w:type="dxa"/>
        <w:jc w:val="left"/>
        <w:tblInd w:w="0" w:type="dxa"/>
        <w:tblLayout w:type="fixed"/>
        <w:tblCellMar>
          <w:top w:w="28" w:type="dxa"/>
          <w:left w:w="28" w:type="dxa"/>
          <w:bottom w:w="0" w:type="dxa"/>
          <w:right w:w="0" w:type="dxa"/>
        </w:tblCellMar>
      </w:tblPr>
      <w:tblGrid>
        <w:gridCol w:w="770"/>
        <w:gridCol w:w="2876"/>
        <w:gridCol w:w="2380"/>
        <w:gridCol w:w="1568"/>
        <w:gridCol w:w="1545"/>
        <w:gridCol w:w="1066"/>
      </w:tblGrid>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2026-08-17</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90,194</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9.6736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9.7800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9.5460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2026-08-17</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75,000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13.0183</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13.2200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12.8950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2026-08-18</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93,004</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9.5063</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9.5960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9.4180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2026-08-18</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49,687</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9.5004</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9.5860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9.4220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2026-08-18</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99,059</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12.8130</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13.0050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12.7100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2026-08-19</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138,715</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9.2820</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9.4140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9.1780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2026-08-19</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76,888</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9.2660</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9.4060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9.1780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2026-08-19</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20,815</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9.2656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9.4060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9.1840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BATE</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2026-08-19</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149,806</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12.6581</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12.8350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12.5100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2026-08-20</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63,470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9.2241</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9.1360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2026-08-20</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76,114</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9.2197</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9.2980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9.1340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2026-08-20</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12.5516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12.6800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12.4600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77,333</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9.3243</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9.4680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9.1740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82,300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9.3406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9.4560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9.1880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2026-08-21</w:t>
            </w:r>
          </w:p>
        </w:tc>
        <w:tc>
          <w:tcPr>
            <w:tcW w:w="287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149,010</w:t>
            </w:r>
          </w:p>
        </w:tc>
        <w:tc>
          <w:tcPr>
            <w:tcW w:w="238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12.8706</w:t>
            </w:r>
          </w:p>
        </w:tc>
        <w:tc>
          <w:tcPr>
            <w:tcW w:w="1568"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13.0500</w:t>
            </w:r>
          </w:p>
        </w:tc>
        <w:tc>
          <w:tcPr>
            <w:tcW w:w="154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12.6300</w:t>
            </w:r>
          </w:p>
        </w:tc>
        <w:tc>
          <w:tcPr>
            <w:tcW w:w="1066"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http://www.rns-pdf.londonstockexchange.com/rns/9573R_1-2026-8-24.pdf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725" w:type="dxa"/>
        <w:jc w:val="left"/>
        <w:tblInd w:w="0" w:type="dxa"/>
        <w:tblLayout w:type="fixed"/>
        <w:tblCellMar>
          <w:top w:w="0" w:type="dxa"/>
          <w:left w:w="0" w:type="dxa"/>
          <w:bottom w:w="0" w:type="dxa"/>
          <w:right w:w="0" w:type="dxa"/>
        </w:tblCellMar>
      </w:tblPr>
      <w:tblGrid>
        <w:gridCol w:w="1865"/>
        <w:gridCol w:w="60"/>
        <w:gridCol w:w="60"/>
        <w:gridCol w:w="60"/>
        <w:gridCol w:w="545"/>
        <w:gridCol w:w="60"/>
        <w:gridCol w:w="2075"/>
      </w:tblGrid>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186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25 August,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3536</Characters>
  <CharactersWithSpaces>4118</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